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jc w:val="both"/>
        <w:rPr>
          <w:rFonts w:cs="Calibri"/>
          <w:b/>
          <w:bCs/>
        </w:rPr>
      </w:pPr>
    </w:p>
    <w:p>
      <w:pPr>
        <w:pStyle w:val="style0"/>
        <w:jc w:val="center"/>
        <w:rPr>
          <w:rFonts w:cs="Calibri"/>
          <w:b/>
          <w:bCs/>
        </w:rPr>
      </w:pPr>
      <w:r>
        <w:rPr>
          <w:rFonts w:cs="Calibri"/>
          <w:noProof/>
        </w:rPr>
        <w:drawing>
          <wp:inline distL="0" distT="0" distB="0" distR="0">
            <wp:extent cx="2444148" cy="818147"/>
            <wp:effectExtent l="0" t="0" r="0" b="1270"/>
            <wp:docPr id="1026" name="Picture 1" descr="Graphical user interface, text&#10;&#10;Description automatically generated"/>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2444148" cy="818147"/>
                    </a:xfrm>
                    <a:prstGeom prst="rect"/>
                    <a:ln>
                      <a:noFill/>
                    </a:ln>
                  </pic:spPr>
                </pic:pic>
              </a:graphicData>
            </a:graphic>
          </wp:inline>
        </w:drawing>
      </w:r>
    </w:p>
    <w:p>
      <w:pPr>
        <w:pStyle w:val="style0"/>
        <w:spacing w:after="0" w:lineRule="auto" w:line="240"/>
        <w:jc w:val="center"/>
        <w:outlineLvl w:val="0"/>
        <w:rPr>
          <w:rFonts w:cs="Calibri" w:eastAsia="Times New Roman"/>
          <w:b/>
          <w:bCs/>
          <w:kern w:val="36"/>
          <w:lang w:eastAsia="en-GB"/>
        </w:rPr>
      </w:pPr>
      <w:r>
        <w:rPr>
          <w:rFonts w:cs="Calibri" w:eastAsia="Times New Roman"/>
          <w:b/>
          <w:bCs/>
          <w:kern w:val="36"/>
          <w:lang w:eastAsia="en-GB"/>
        </w:rPr>
        <w:t>Invitation to Submit Expressions of Interest</w:t>
      </w:r>
      <w:r>
        <w:rPr>
          <w:rFonts w:cs="Calibri" w:eastAsia="Times New Roman"/>
          <w:b/>
          <w:bCs/>
          <w:kern w:val="36"/>
          <w:lang w:eastAsia="en-GB"/>
        </w:rPr>
        <w:t xml:space="preserve"> </w:t>
      </w:r>
      <w:r>
        <w:rPr>
          <w:rFonts w:cs="Calibri" w:eastAsia="Times New Roman"/>
          <w:b/>
          <w:bCs/>
          <w:kern w:val="36"/>
          <w:lang w:eastAsia="en-GB"/>
        </w:rPr>
        <w:t>–</w:t>
      </w:r>
      <w:r>
        <w:rPr>
          <w:rFonts w:cs="Calibri" w:eastAsia="Times New Roman"/>
          <w:b/>
          <w:bCs/>
          <w:kern w:val="36"/>
          <w:lang w:eastAsia="en-GB"/>
        </w:rPr>
        <w:t xml:space="preserve"> </w:t>
      </w:r>
      <w:r>
        <w:rPr>
          <w:rFonts w:cs="Calibri" w:eastAsia="Times New Roman"/>
          <w:b/>
          <w:bCs/>
          <w:kern w:val="36"/>
          <w:lang w:eastAsia="en-GB"/>
        </w:rPr>
        <w:t>Knowing Your Partner (KYP)</w:t>
      </w:r>
    </w:p>
    <w:p>
      <w:pPr>
        <w:pStyle w:val="style0"/>
        <w:spacing w:after="0" w:lineRule="auto" w:line="240"/>
        <w:jc w:val="center"/>
        <w:outlineLvl w:val="0"/>
        <w:rPr>
          <w:rFonts w:cs="Calibri"/>
          <w:b/>
          <w:bCs/>
        </w:rPr>
      </w:pPr>
      <w:r>
        <w:rPr>
          <w:rFonts w:cs="Calibri" w:eastAsia="Times New Roman"/>
          <w:b/>
          <w:bCs/>
          <w:kern w:val="36"/>
          <w:lang w:eastAsia="en-GB"/>
        </w:rPr>
        <w:t xml:space="preserve">Due Diligence on prospective </w:t>
      </w:r>
      <w:r>
        <w:rPr>
          <w:rFonts w:cs="Calibri"/>
          <w:b/>
          <w:bCs/>
        </w:rPr>
        <w:t xml:space="preserve">Grant </w:t>
      </w:r>
      <w:r>
        <w:rPr>
          <w:rFonts w:cs="Calibri"/>
          <w:b/>
          <w:bCs/>
        </w:rPr>
        <w:t>Partners</w:t>
      </w:r>
    </w:p>
    <w:p>
      <w:pPr>
        <w:pStyle w:val="style0"/>
        <w:spacing w:after="0" w:lineRule="auto" w:line="240"/>
        <w:jc w:val="center"/>
        <w:outlineLvl w:val="0"/>
        <w:rPr>
          <w:rFonts w:cs="Calibri"/>
          <w:b/>
          <w:bCs/>
        </w:rPr>
      </w:pPr>
    </w:p>
    <w:p>
      <w:pPr>
        <w:pStyle w:val="style0"/>
        <w:spacing w:after="0" w:lineRule="auto" w:line="240"/>
        <w:jc w:val="left"/>
        <w:outlineLvl w:val="0"/>
        <w:rPr>
          <w:rFonts w:cs="Calibri" w:eastAsia="Times New Roman"/>
          <w:b/>
          <w:bCs/>
          <w:spacing w:val="8"/>
          <w:lang w:eastAsia="en-GB"/>
        </w:rPr>
      </w:pPr>
      <w:r>
        <w:rPr>
          <w:rFonts w:cs="Calibri" w:eastAsia="Times New Roman"/>
          <w:b/>
          <w:bCs/>
          <w:spacing w:val="8"/>
          <w:lang w:eastAsia="en-GB"/>
        </w:rPr>
        <w:t>STAR-Ghana Foundation Civil Society Strengthening Fund</w:t>
      </w:r>
      <w:r>
        <w:rPr>
          <w:rFonts w:cs="Calibri" w:eastAsia="Times New Roman"/>
          <w:b/>
          <w:bCs/>
          <w:spacing w:val="8"/>
          <w:lang w:eastAsia="en-GB"/>
        </w:rPr>
        <w:t>/#Shift the Power</w:t>
      </w:r>
      <w:r>
        <w:rPr>
          <w:rFonts w:cs="Calibri" w:eastAsia="Times New Roman"/>
          <w:b/>
          <w:bCs/>
          <w:spacing w:val="8"/>
          <w:lang w:eastAsia="en-GB"/>
        </w:rPr>
        <w:t xml:space="preserve"> (CSSF</w:t>
      </w:r>
      <w:r>
        <w:rPr>
          <w:rFonts w:cs="Calibri" w:eastAsia="Times New Roman"/>
          <w:b/>
          <w:bCs/>
          <w:spacing w:val="8"/>
          <w:lang w:eastAsia="en-GB"/>
        </w:rPr>
        <w:t>/#StP</w:t>
      </w:r>
      <w:r>
        <w:rPr>
          <w:rFonts w:cs="Calibri" w:eastAsia="Times New Roman"/>
          <w:b/>
          <w:bCs/>
          <w:spacing w:val="8"/>
          <w:lang w:eastAsia="en-GB"/>
        </w:rPr>
        <w:t>)</w:t>
      </w:r>
    </w:p>
    <w:p>
      <w:pPr>
        <w:pStyle w:val="style4097"/>
        <w:jc w:val="both"/>
        <w:rPr>
          <w:rStyle w:val="style4098"/>
          <w:rFonts w:ascii="Calibri" w:cs="Calibri" w:hAnsi="Calibri"/>
          <w:sz w:val="22"/>
          <w:szCs w:val="22"/>
        </w:rPr>
      </w:pPr>
      <w:r>
        <w:rPr>
          <w:rStyle w:val="style4098"/>
          <w:rFonts w:ascii="Calibri" w:cs="Calibri" w:hAnsi="Calibri"/>
          <w:sz w:val="22"/>
          <w:szCs w:val="22"/>
        </w:rPr>
        <w:t xml:space="preserve">STAR-Ghana Foundation (SGF) is seeking to recruit Consultants to assist the Secretariat </w:t>
      </w:r>
      <w:r>
        <w:rPr>
          <w:rStyle w:val="style4098"/>
          <w:rFonts w:ascii="Calibri" w:cs="Calibri" w:hAnsi="Calibri"/>
          <w:sz w:val="22"/>
          <w:szCs w:val="22"/>
        </w:rPr>
        <w:t xml:space="preserve">in </w:t>
      </w:r>
      <w:r>
        <w:rPr>
          <w:rStyle w:val="style4098"/>
          <w:rFonts w:ascii="Calibri" w:cs="Calibri" w:hAnsi="Calibri"/>
          <w:sz w:val="22"/>
          <w:szCs w:val="22"/>
        </w:rPr>
        <w:t xml:space="preserve">conducting </w:t>
      </w:r>
      <w:r>
        <w:rPr>
          <w:rStyle w:val="style4098"/>
          <w:rFonts w:ascii="Calibri" w:cs="Calibri" w:hAnsi="Calibri"/>
          <w:sz w:val="22"/>
          <w:szCs w:val="22"/>
        </w:rPr>
        <w:t>organisational assessment (Kno</w:t>
      </w:r>
      <w:r>
        <w:rPr>
          <w:rStyle w:val="style4098"/>
          <w:rFonts w:ascii="Calibri" w:cs="Calibri" w:hAnsi="Calibri"/>
          <w:sz w:val="22"/>
          <w:szCs w:val="22"/>
        </w:rPr>
        <w:t>wing your Partner)</w:t>
      </w:r>
      <w:r>
        <w:rPr>
          <w:rStyle w:val="style4098"/>
          <w:rFonts w:ascii="Calibri" w:cs="Calibri" w:hAnsi="Calibri"/>
          <w:sz w:val="22"/>
          <w:szCs w:val="22"/>
        </w:rPr>
        <w:t xml:space="preserve"> of prospective partners </w:t>
      </w:r>
      <w:r>
        <w:rPr>
          <w:rStyle w:val="style4098"/>
          <w:rFonts w:ascii="Calibri" w:cs="Calibri" w:hAnsi="Calibri"/>
          <w:sz w:val="22"/>
          <w:szCs w:val="22"/>
        </w:rPr>
        <w:t>for</w:t>
      </w:r>
      <w:r>
        <w:rPr>
          <w:rStyle w:val="style4098"/>
          <w:rFonts w:ascii="Calibri" w:cs="Calibri" w:hAnsi="Calibri"/>
          <w:sz w:val="22"/>
          <w:szCs w:val="22"/>
        </w:rPr>
        <w:t xml:space="preserve"> the recently advertised Civil Society Strengthening Fund Call. This invitation is open to individual consultants</w:t>
      </w:r>
      <w:r>
        <w:rPr>
          <w:rStyle w:val="style4098"/>
          <w:rFonts w:ascii="Calibri" w:cs="Calibri" w:hAnsi="Calibri"/>
          <w:sz w:val="22"/>
          <w:szCs w:val="22"/>
        </w:rPr>
        <w:t xml:space="preserve"> only</w:t>
      </w:r>
      <w:r>
        <w:rPr>
          <w:rStyle w:val="style4098"/>
          <w:rFonts w:ascii="Calibri" w:cs="Calibri" w:hAnsi="Calibri"/>
          <w:sz w:val="22"/>
          <w:szCs w:val="22"/>
        </w:rPr>
        <w:t xml:space="preserve">. </w:t>
      </w:r>
    </w:p>
    <w:p>
      <w:pPr>
        <w:pStyle w:val="style4097"/>
        <w:jc w:val="both"/>
        <w:rPr>
          <w:rStyle w:val="style4098"/>
          <w:rFonts w:ascii="Calibri" w:cs="Calibri" w:hAnsi="Calibri"/>
          <w:sz w:val="22"/>
          <w:szCs w:val="22"/>
        </w:rPr>
      </w:pPr>
      <w:r>
        <w:rPr>
          <w:rStyle w:val="style4098"/>
          <w:rFonts w:ascii="Calibri" w:cs="Calibri" w:hAnsi="Calibri"/>
          <w:sz w:val="22"/>
          <w:szCs w:val="22"/>
        </w:rPr>
        <w:t xml:space="preserve">Applications should be submitted via email to </w:t>
      </w:r>
      <w:r>
        <w:rPr/>
        <w:fldChar w:fldCharType="begin"/>
      </w:r>
      <w:r>
        <w:instrText xml:space="preserve"> HYPERLINK "mailto:applications@star-ghana.org" </w:instrText>
      </w:r>
      <w:r>
        <w:rPr/>
        <w:fldChar w:fldCharType="separate"/>
      </w:r>
      <w:r>
        <w:rPr>
          <w:rStyle w:val="style85"/>
          <w:rFonts w:ascii="Calibri" w:cs="Calibri" w:hAnsi="Calibri"/>
          <w:color w:val="auto"/>
          <w:sz w:val="22"/>
          <w:szCs w:val="22"/>
        </w:rPr>
        <w:t>applications@star-ghana.org</w:t>
      </w:r>
      <w:r>
        <w:rPr/>
        <w:fldChar w:fldCharType="end"/>
      </w:r>
      <w:r>
        <w:rPr>
          <w:rStyle w:val="style4098"/>
          <w:rFonts w:ascii="Calibri" w:cs="Calibri" w:hAnsi="Calibri"/>
          <w:sz w:val="22"/>
          <w:szCs w:val="22"/>
        </w:rPr>
        <w:t xml:space="preserve"> </w:t>
      </w:r>
      <w:r>
        <w:rPr>
          <w:rStyle w:val="style4098"/>
          <w:rFonts w:ascii="Calibri" w:cs="Calibri" w:hAnsi="Calibri"/>
          <w:sz w:val="22"/>
          <w:szCs w:val="22"/>
        </w:rPr>
        <w:t xml:space="preserve">by </w:t>
      </w:r>
      <w:r>
        <w:rPr>
          <w:rStyle w:val="style4098"/>
          <w:rFonts w:ascii="Calibri" w:cs="Calibri" w:hAnsi="Calibri"/>
          <w:b/>
          <w:bCs/>
          <w:sz w:val="22"/>
          <w:szCs w:val="22"/>
          <w:u w:val="single"/>
        </w:rPr>
        <w:t xml:space="preserve">November </w:t>
      </w:r>
      <w:r>
        <w:rPr>
          <w:rStyle w:val="style4098"/>
          <w:rFonts w:ascii="Calibri" w:cs="Calibri" w:hAnsi="Calibri"/>
          <w:b/>
          <w:bCs/>
          <w:sz w:val="22"/>
          <w:szCs w:val="22"/>
          <w:u w:val="single"/>
        </w:rPr>
        <w:t>2</w:t>
      </w:r>
      <w:r>
        <w:rPr>
          <w:rStyle w:val="style4098"/>
          <w:rFonts w:ascii="Calibri" w:cs="Calibri" w:hAnsi="Calibri"/>
          <w:b/>
          <w:bCs/>
          <w:sz w:val="22"/>
          <w:szCs w:val="22"/>
          <w:u w:val="single"/>
        </w:rPr>
        <w:t>6</w:t>
      </w:r>
      <w:r>
        <w:rPr>
          <w:rStyle w:val="style4098"/>
          <w:rFonts w:ascii="Calibri" w:cs="Calibri" w:hAnsi="Calibri"/>
          <w:b/>
          <w:bCs/>
          <w:sz w:val="22"/>
          <w:szCs w:val="22"/>
          <w:u w:val="single"/>
        </w:rPr>
        <w:t>, 2023</w:t>
      </w:r>
      <w:r>
        <w:rPr>
          <w:rStyle w:val="style4098"/>
          <w:rFonts w:ascii="Calibri" w:cs="Calibri" w:hAnsi="Calibri"/>
          <w:sz w:val="22"/>
          <w:szCs w:val="22"/>
        </w:rPr>
        <w:t xml:space="preserve">. </w:t>
      </w:r>
    </w:p>
    <w:p>
      <w:pPr>
        <w:pStyle w:val="style0"/>
        <w:adjustRightInd w:val="false"/>
        <w:spacing w:after="0" w:lineRule="auto" w:line="240"/>
        <w:jc w:val="both"/>
        <w:rPr>
          <w:rFonts w:cs="Calibri" w:eastAsia="Arial"/>
          <w:lang w:eastAsia="en-GB"/>
        </w:rPr>
      </w:pPr>
      <w:r>
        <w:rPr>
          <w:rFonts w:cs="Calibri" w:eastAsia="Arial"/>
          <w:lang w:eastAsia="en-GB"/>
        </w:rPr>
        <w:t xml:space="preserve">For further information on STAR-Ghana, please visit </w:t>
      </w:r>
      <w:bookmarkStart w:id="0" w:name="_Hlk20911524"/>
      <w:r>
        <w:rPr>
          <w:lang w:val="en-US"/>
        </w:rPr>
        <w:fldChar w:fldCharType="begin"/>
      </w:r>
      <w:r>
        <w:rPr>
          <w:rFonts w:cs="Calibri"/>
        </w:rPr>
        <w:instrText xml:space="preserve"> HYPERLINK "http://www.star-ghana.org" </w:instrText>
      </w:r>
      <w:r>
        <w:rPr>
          <w:lang w:val="en-US"/>
        </w:rPr>
        <w:fldChar w:fldCharType="separate"/>
      </w:r>
      <w:r>
        <w:rPr>
          <w:rStyle w:val="style85"/>
          <w:rFonts w:cs="Calibri" w:eastAsia="Arial"/>
          <w:lang w:eastAsia="en-GB"/>
        </w:rPr>
        <w:t>www.star-ghana.org</w:t>
      </w:r>
      <w:r>
        <w:rPr>
          <w:rStyle w:val="style85"/>
          <w:rFonts w:cs="Calibri" w:eastAsia="Arial"/>
          <w:lang w:eastAsia="en-GB"/>
        </w:rPr>
        <w:fldChar w:fldCharType="end"/>
      </w:r>
      <w:bookmarkEnd w:id="0"/>
    </w:p>
    <w:p>
      <w:pPr>
        <w:pStyle w:val="style0"/>
        <w:spacing w:before="100" w:beforeAutospacing="true" w:after="100" w:afterAutospacing="true" w:lineRule="auto" w:line="240"/>
        <w:jc w:val="both"/>
        <w:outlineLvl w:val="1"/>
        <w:rPr>
          <w:rFonts w:cs="Calibri" w:eastAsia="Times New Roman"/>
          <w:b/>
          <w:bCs/>
          <w:lang w:eastAsia="en-GB"/>
        </w:rPr>
      </w:pPr>
      <w:r>
        <w:rPr>
          <w:rFonts w:cs="Calibri" w:eastAsia="Times New Roman"/>
          <w:b/>
          <w:bCs/>
          <w:lang w:eastAsia="en-GB"/>
        </w:rPr>
        <w:t>1.0</w:t>
      </w:r>
      <w:r>
        <w:rPr>
          <w:rFonts w:cs="Calibri" w:eastAsia="Times New Roman"/>
          <w:b/>
          <w:bCs/>
          <w:lang w:eastAsia="en-GB"/>
        </w:rPr>
        <w:tab/>
      </w:r>
      <w:r>
        <w:rPr>
          <w:rFonts w:cs="Calibri" w:eastAsia="Times New Roman"/>
          <w:b/>
          <w:bCs/>
          <w:lang w:eastAsia="en-GB"/>
        </w:rPr>
        <w:t>Background</w:t>
      </w:r>
    </w:p>
    <w:p>
      <w:pPr>
        <w:pStyle w:val="style0"/>
        <w:autoSpaceDE w:val="false"/>
        <w:autoSpaceDN w:val="false"/>
        <w:adjustRightInd w:val="false"/>
        <w:spacing w:after="0" w:lineRule="auto" w:line="240"/>
        <w:jc w:val="both"/>
        <w:rPr>
          <w:rFonts w:cs="Calibri"/>
        </w:rPr>
      </w:pPr>
      <w:r>
        <w:rPr>
          <w:rFonts w:cs="Calibri"/>
        </w:rPr>
        <w:t xml:space="preserve">With support from Comic Relief and FCDO, STAR Ghana Foundation is implementing an eight-year transformative, long-term Civil Society Strengthening Programme – #Shift the Power (CSSP/#StP). </w:t>
      </w:r>
      <w:r>
        <w:rPr>
          <w:rFonts w:cs="Calibri"/>
        </w:rPr>
        <w:t xml:space="preserve">The CSSP - </w:t>
      </w:r>
      <w:r>
        <w:rPr>
          <w:rFonts w:cs="Calibri"/>
        </w:rPr>
        <w:t>StP</w:t>
      </w:r>
      <w:r>
        <w:rPr>
          <w:rFonts w:cs="Calibri"/>
        </w:rPr>
        <w:t xml:space="preserve"> seeks to provide long term support to civil society in Ghana, contributing to CSAs becoming more resilient, responsive, and effective in delivering the priorities of its constituents. </w:t>
      </w:r>
      <w:r>
        <w:rPr>
          <w:rFonts w:cs="Calibri"/>
        </w:rPr>
        <w:t xml:space="preserve">This will be achieved through </w:t>
      </w:r>
      <w:r>
        <w:rPr>
          <w:rFonts w:cs="Calibri"/>
        </w:rPr>
        <w:t>build</w:t>
      </w:r>
      <w:r>
        <w:rPr>
          <w:rFonts w:cs="Calibri"/>
        </w:rPr>
        <w:t>ing</w:t>
      </w:r>
      <w:r>
        <w:rPr>
          <w:rFonts w:cs="Calibri"/>
        </w:rPr>
        <w:t xml:space="preserve"> sustainable partnerships with </w:t>
      </w:r>
      <w:r>
        <w:rPr>
          <w:rFonts w:cs="Calibri"/>
        </w:rPr>
        <w:t>C</w:t>
      </w:r>
      <w:r>
        <w:rPr>
          <w:rFonts w:cs="Calibri"/>
        </w:rPr>
        <w:t xml:space="preserve">ommunity-Based </w:t>
      </w:r>
      <w:r>
        <w:rPr>
          <w:rFonts w:cs="Calibri"/>
        </w:rPr>
        <w:t xml:space="preserve">Actors (CSAs) </w:t>
      </w:r>
      <w:r>
        <w:rPr>
          <w:rFonts w:cs="Calibri"/>
        </w:rPr>
        <w:t xml:space="preserve">and less formalised networks, alliances and with social movements to effectively represent their constituents (underserved groups), and to improve access to social services and public goods by members of underserved population networks and associations’. </w:t>
      </w:r>
    </w:p>
    <w:p>
      <w:pPr>
        <w:pStyle w:val="style0"/>
        <w:tabs>
          <w:tab w:val="right" w:leader="none" w:pos="9016"/>
        </w:tabs>
        <w:spacing w:before="240" w:after="240" w:lineRule="auto" w:line="240"/>
        <w:jc w:val="both"/>
        <w:rPr>
          <w:rFonts w:cs="Calibri"/>
        </w:rPr>
      </w:pPr>
      <w:r>
        <w:rPr>
          <w:rFonts w:cs="Calibri"/>
          <w:highlight w:val="white"/>
        </w:rPr>
        <w:t xml:space="preserve">The main delivery mechanism of the CSSP - </w:t>
      </w:r>
      <w:r>
        <w:rPr>
          <w:rFonts w:cs="Calibri"/>
          <w:highlight w:val="white"/>
        </w:rPr>
        <w:t>StP</w:t>
      </w:r>
      <w:r>
        <w:rPr>
          <w:rFonts w:cs="Calibri"/>
          <w:highlight w:val="white"/>
        </w:rPr>
        <w:t xml:space="preserve"> will be through grants and capacity development support to diverse CSAs to work in partnership with their constituents in demanding and exercising their rights and access to social services.</w:t>
      </w:r>
    </w:p>
    <w:p>
      <w:pPr>
        <w:pStyle w:val="style0"/>
        <w:tabs>
          <w:tab w:val="right" w:leader="none" w:pos="9016"/>
        </w:tabs>
        <w:spacing w:before="240" w:after="240" w:lineRule="auto" w:line="240"/>
        <w:jc w:val="both"/>
        <w:rPr>
          <w:rFonts w:cs="Calibri"/>
        </w:rPr>
      </w:pPr>
      <w:r>
        <w:rPr>
          <w:rFonts w:cs="Calibri"/>
        </w:rPr>
        <w:t>The design of the CSSP is anchored on these elements;</w:t>
      </w:r>
    </w:p>
    <w:p>
      <w:pPr>
        <w:pStyle w:val="style0"/>
        <w:numPr>
          <w:ilvl w:val="0"/>
          <w:numId w:val="1"/>
        </w:numPr>
        <w:tabs>
          <w:tab w:val="right" w:leader="none" w:pos="9016"/>
        </w:tabs>
        <w:spacing w:before="240" w:after="0" w:lineRule="auto" w:line="240"/>
        <w:jc w:val="both"/>
        <w:rPr>
          <w:rFonts w:cs="Calibri"/>
        </w:rPr>
      </w:pPr>
      <w:r>
        <w:rPr>
          <w:rFonts w:cs="Calibri"/>
        </w:rPr>
        <w:t>Enhancing CSOs capacities and capabilities:</w:t>
      </w:r>
      <w:r>
        <w:rPr>
          <w:rFonts w:cs="Calibri"/>
          <w:b/>
        </w:rPr>
        <w:t xml:space="preserve"> IF</w:t>
      </w:r>
      <w:r>
        <w:rPr>
          <w:rFonts w:cs="Calibri"/>
        </w:rPr>
        <w:t xml:space="preserve"> we</w:t>
      </w:r>
      <w:r>
        <w:rPr>
          <w:rFonts w:cs="Calibri"/>
          <w:color w:val="33a862"/>
        </w:rPr>
        <w:t xml:space="preserve"> </w:t>
      </w:r>
      <w:r>
        <w:rPr>
          <w:rFonts w:cs="Calibri"/>
        </w:rPr>
        <w:t>strengthen the capacities of CSAs, including those representing excluded and marginalised groups to effectively negotiate with their constituents and work with them on their priorities;</w:t>
      </w:r>
    </w:p>
    <w:p>
      <w:pPr>
        <w:pStyle w:val="style0"/>
        <w:numPr>
          <w:ilvl w:val="0"/>
          <w:numId w:val="1"/>
        </w:numPr>
        <w:tabs>
          <w:tab w:val="right" w:leader="none" w:pos="9016"/>
        </w:tabs>
        <w:spacing w:after="0" w:lineRule="auto" w:line="240"/>
        <w:jc w:val="both"/>
        <w:rPr>
          <w:rFonts w:cs="Calibri"/>
        </w:rPr>
      </w:pPr>
      <w:r>
        <w:rPr>
          <w:rFonts w:cs="Calibri"/>
        </w:rPr>
        <w:t>Connecting partners and issues:</w:t>
      </w:r>
      <w:r>
        <w:rPr>
          <w:rFonts w:cs="Calibri"/>
          <w:b/>
        </w:rPr>
        <w:t xml:space="preserve"> IF</w:t>
      </w:r>
      <w:r>
        <w:rPr>
          <w:rFonts w:cs="Calibri"/>
        </w:rPr>
        <w:t xml:space="preserve"> we facilitate connections of capacities, knowledge and resources, facilitate solidarity movements to increase and maintain advocacy around on communities and citizens’ priorities;</w:t>
      </w:r>
    </w:p>
    <w:p>
      <w:pPr>
        <w:pStyle w:val="style0"/>
        <w:tabs>
          <w:tab w:val="right" w:leader="none" w:pos="9016"/>
        </w:tabs>
        <w:spacing w:after="0" w:lineRule="auto" w:line="240"/>
        <w:ind w:left="720"/>
        <w:jc w:val="both"/>
        <w:rPr>
          <w:rFonts w:cs="Calibri"/>
        </w:rPr>
      </w:pPr>
    </w:p>
    <w:p>
      <w:pPr>
        <w:pStyle w:val="style0"/>
        <w:autoSpaceDE w:val="false"/>
        <w:autoSpaceDN w:val="false"/>
        <w:adjustRightInd w:val="false"/>
        <w:spacing w:after="0" w:lineRule="auto" w:line="240"/>
        <w:jc w:val="both"/>
        <w:rPr>
          <w:rFonts w:cs="Calibri"/>
        </w:rPr>
      </w:pPr>
      <w:r>
        <w:rPr>
          <w:rFonts w:cs="Calibri"/>
          <w:b/>
        </w:rPr>
        <w:t>THEN</w:t>
      </w:r>
      <w:r>
        <w:rPr>
          <w:rFonts w:cs="Calibri"/>
        </w:rPr>
        <w:t xml:space="preserve"> this will strengthen the agency of excluded and marginalised groups and communities and increase accountability and responsiveness of duty bearers in addressing barriers to inclusion and equitable access to public social services.</w:t>
      </w:r>
    </w:p>
    <w:p>
      <w:pPr>
        <w:pStyle w:val="style0"/>
        <w:tabs>
          <w:tab w:val="right" w:leader="none" w:pos="9016"/>
        </w:tabs>
        <w:spacing w:before="240" w:after="240" w:lineRule="auto" w:line="240"/>
        <w:jc w:val="both"/>
        <w:rPr>
          <w:rFonts w:cs="Calibri"/>
          <w:color w:val="ff0000"/>
        </w:rPr>
      </w:pPr>
      <w:r>
        <w:rPr>
          <w:rFonts w:cs="Calibri"/>
        </w:rPr>
        <w:t xml:space="preserve">The funding will target Civil Society Actors (CSAs), particularly emerging ones and support them to better represent their constituents and communities’ critical development needs and aspirations. The CSSP targets diverse civil society organizations, including formal non-governmental organizations (NGOs), community-based organisations (CBOs) and media organizations, less formally organised citizen groups, movements and associations, civic networks and coalitions at community, regional and national levels. </w:t>
      </w:r>
    </w:p>
    <w:p>
      <w:pPr>
        <w:pStyle w:val="style0"/>
        <w:tabs>
          <w:tab w:val="right" w:leader="none" w:pos="9016"/>
        </w:tabs>
        <w:spacing w:before="240" w:after="240" w:lineRule="auto" w:line="240"/>
        <w:jc w:val="both"/>
        <w:rPr>
          <w:rFonts w:cs="Calibri"/>
        </w:rPr>
      </w:pPr>
      <w:r>
        <w:rPr>
          <w:rFonts w:cs="Calibri"/>
        </w:rPr>
        <w:t xml:space="preserve">In managing the complexity of breadth and depth, and towards contributing to specific changes within civil society and the development sector of Ghana, grants will largely align with CSSP prioritized sectors, which are </w:t>
      </w:r>
      <w:r>
        <w:rPr>
          <w:rFonts w:cs="Calibri"/>
          <w:i/>
        </w:rPr>
        <w:t>Access to services (health and education); Gender Justice; Climate Change and Livelihoods; and Enabling Peace and Security</w:t>
      </w:r>
      <w:r>
        <w:rPr>
          <w:rFonts w:cs="Calibri"/>
          <w:i/>
          <w:vertAlign w:val="superscript"/>
        </w:rPr>
        <w:footnoteReference w:id="1"/>
      </w:r>
      <w:r>
        <w:rPr>
          <w:rFonts w:cs="Calibri"/>
        </w:rPr>
        <w:t xml:space="preserve">. </w:t>
      </w:r>
    </w:p>
    <w:p>
      <w:pPr>
        <w:pStyle w:val="style0"/>
        <w:widowControl w:val="false"/>
        <w:ind w:left="2" w:firstLine="7"/>
        <w:rPr>
          <w:rFonts w:cs="Calibri"/>
        </w:rPr>
      </w:pPr>
      <w:r>
        <w:rPr>
          <w:rFonts w:cs="Calibri"/>
        </w:rPr>
        <w:t xml:space="preserve">CSSP will work with three main funds: </w:t>
      </w:r>
    </w:p>
    <w:p>
      <w:pPr>
        <w:pStyle w:val="style0"/>
        <w:widowControl w:val="false"/>
        <w:numPr>
          <w:ilvl w:val="0"/>
          <w:numId w:val="9"/>
        </w:numPr>
        <w:pBdr>
          <w:left w:val="nil"/>
          <w:right w:val="nil"/>
          <w:top w:val="nil"/>
          <w:bottom w:val="nil"/>
          <w:between w:val="nil"/>
        </w:pBdr>
        <w:spacing w:after="0" w:lineRule="auto" w:line="276"/>
        <w:ind w:right="157"/>
        <w:rPr>
          <w:rFonts w:cs="Calibri"/>
          <w:color w:val="000000"/>
        </w:rPr>
      </w:pPr>
      <w:r>
        <w:rPr>
          <w:rFonts w:cs="Calibri"/>
          <w:color w:val="000000"/>
          <w:u w:val="single"/>
        </w:rPr>
        <w:t>Catalyst Fund</w:t>
      </w:r>
      <w:r>
        <w:rPr>
          <w:rFonts w:cs="Calibri"/>
          <w:color w:val="000000"/>
        </w:rPr>
        <w:t xml:space="preserve">: Small grants to Community Based </w:t>
      </w:r>
      <w:r>
        <w:rPr>
          <w:rFonts w:cs="Calibri"/>
        </w:rPr>
        <w:t>Organisations</w:t>
      </w:r>
      <w:r>
        <w:rPr>
          <w:rFonts w:cs="Calibri"/>
          <w:color w:val="000000"/>
        </w:rPr>
        <w:t xml:space="preserve"> (CBOs)</w:t>
      </w:r>
      <w:r>
        <w:rPr>
          <w:rFonts w:cs="Calibri"/>
          <w:color w:val="000000"/>
        </w:rPr>
        <w:t>/Actors</w:t>
      </w:r>
      <w:r>
        <w:rPr>
          <w:rFonts w:cs="Calibri"/>
          <w:color w:val="000000"/>
        </w:rPr>
        <w:t xml:space="preserve"> to invest in their </w:t>
      </w:r>
      <w:r>
        <w:rPr>
          <w:rFonts w:cs="Calibri"/>
        </w:rPr>
        <w:t>organisational</w:t>
      </w:r>
      <w:r>
        <w:rPr>
          <w:rFonts w:cs="Calibri"/>
          <w:color w:val="000000"/>
        </w:rPr>
        <w:t xml:space="preserve"> strengthening, in</w:t>
      </w:r>
      <w:r>
        <w:rPr>
          <w:rFonts w:cs="Calibri"/>
        </w:rPr>
        <w:t>cluding institutional assessment and implementing actions to strengthen systems, policies and processes, to become more viable and also be able to access funding under the civil society strengthening fund</w:t>
      </w:r>
      <w:r>
        <w:rPr>
          <w:rFonts w:cs="Calibri"/>
          <w:color w:val="000000"/>
        </w:rPr>
        <w:t xml:space="preserve">. </w:t>
      </w:r>
    </w:p>
    <w:p>
      <w:pPr>
        <w:pStyle w:val="style0"/>
        <w:widowControl w:val="false"/>
        <w:numPr>
          <w:ilvl w:val="0"/>
          <w:numId w:val="9"/>
        </w:numPr>
        <w:spacing w:after="0" w:lineRule="auto" w:line="276"/>
        <w:ind w:right="157"/>
        <w:rPr>
          <w:rFonts w:cs="Calibri"/>
        </w:rPr>
      </w:pPr>
      <w:r>
        <w:rPr>
          <w:rFonts w:cs="Calibri"/>
          <w:u w:val="single"/>
        </w:rPr>
        <w:t>Civil Society Strengthening Fund</w:t>
      </w:r>
      <w:r>
        <w:rPr>
          <w:rFonts w:cs="Calibri"/>
        </w:rPr>
        <w:t>: Strategic grants to medium size organisations to enable them to implement their strategic direction and mission, as well as to undertake institutional strengthening.</w:t>
      </w:r>
    </w:p>
    <w:p>
      <w:pPr>
        <w:pStyle w:val="style0"/>
        <w:widowControl w:val="false"/>
        <w:numPr>
          <w:ilvl w:val="0"/>
          <w:numId w:val="9"/>
        </w:numPr>
        <w:spacing w:after="0" w:lineRule="auto" w:line="276"/>
        <w:ind w:right="157"/>
        <w:rPr>
          <w:rFonts w:cs="Calibri"/>
        </w:rPr>
      </w:pPr>
      <w:r>
        <w:rPr>
          <w:rFonts w:cs="Calibri"/>
          <w:u w:val="single"/>
        </w:rPr>
        <w:t>Resource Matching Fund</w:t>
      </w:r>
      <w:r>
        <w:rPr>
          <w:rFonts w:cs="Calibri"/>
        </w:rPr>
        <w:t>: Strategic grants to CBOs, medium size and large CSOs to enhance local resource mobilisation and testing alternative income models.</w:t>
      </w:r>
    </w:p>
    <w:p>
      <w:pPr>
        <w:pStyle w:val="style0"/>
        <w:pBdr>
          <w:left w:val="nil"/>
          <w:right w:val="nil"/>
          <w:top w:val="nil"/>
          <w:bottom w:val="nil"/>
          <w:between w:val="nil"/>
        </w:pBdr>
        <w:tabs>
          <w:tab w:val="right" w:leader="none" w:pos="9016"/>
        </w:tabs>
        <w:spacing w:after="100" w:lineRule="auto" w:line="240"/>
        <w:jc w:val="both"/>
        <w:rPr>
          <w:rFonts w:cs="Calibri"/>
        </w:rPr>
      </w:pPr>
    </w:p>
    <w:p>
      <w:pPr>
        <w:pStyle w:val="style0"/>
        <w:spacing w:after="0" w:lineRule="auto" w:line="240"/>
        <w:jc w:val="both"/>
        <w:rPr>
          <w:rFonts w:cs="Calibri"/>
          <w:b/>
          <w:bCs/>
          <w:u w:val="single"/>
        </w:rPr>
      </w:pPr>
      <w:r>
        <w:rPr>
          <w:rFonts w:cs="Calibri"/>
          <w:b/>
          <w:bCs/>
          <w:u w:val="single"/>
        </w:rPr>
        <w:t xml:space="preserve">For this assignment, SGF is focusing on the </w:t>
      </w:r>
      <w:r>
        <w:rPr>
          <w:rFonts w:cs="Calibri"/>
          <w:b/>
          <w:bCs/>
          <w:u w:val="single"/>
        </w:rPr>
        <w:t>Civil Society Strengthening Fund (CSSF).</w:t>
      </w:r>
    </w:p>
    <w:p>
      <w:pPr>
        <w:pStyle w:val="style4097"/>
        <w:jc w:val="both"/>
        <w:rPr>
          <w:rStyle w:val="style4098"/>
          <w:rFonts w:ascii="Calibri" w:cs="Calibri" w:hAnsi="Calibri"/>
          <w:sz w:val="22"/>
          <w:szCs w:val="22"/>
          <w:lang w:val="en-US"/>
        </w:rPr>
      </w:pPr>
      <w:r>
        <w:rPr>
          <w:rFonts w:ascii="Calibri" w:cs="Calibri" w:hAnsi="Calibri"/>
          <w:sz w:val="22"/>
          <w:szCs w:val="22"/>
        </w:rPr>
        <w:t xml:space="preserve">The CSSF </w:t>
      </w:r>
      <w:r>
        <w:rPr>
          <w:rFonts w:ascii="Calibri" w:cs="Calibri" w:hAnsi="Calibri"/>
          <w:sz w:val="22"/>
          <w:szCs w:val="22"/>
        </w:rPr>
        <w:t xml:space="preserve">is expected to onboard about </w:t>
      </w:r>
      <w:r>
        <w:rPr>
          <w:rFonts w:ascii="Calibri" w:cs="Calibri" w:hAnsi="Calibri"/>
          <w:sz w:val="22"/>
          <w:szCs w:val="22"/>
        </w:rPr>
        <w:t>2</w:t>
      </w:r>
      <w:r>
        <w:rPr>
          <w:rFonts w:ascii="Calibri" w:cs="Calibri" w:hAnsi="Calibri"/>
          <w:sz w:val="22"/>
          <w:szCs w:val="22"/>
        </w:rPr>
        <w:t xml:space="preserve">0 CSOs with grants support to implement their Strategic Plans and for organisational capacity development. </w:t>
      </w:r>
      <w:r>
        <w:rPr>
          <w:rStyle w:val="style4098"/>
          <w:rFonts w:ascii="Calibri" w:cs="Calibri" w:hAnsi="Calibri"/>
          <w:sz w:val="22"/>
          <w:szCs w:val="22"/>
          <w:lang w:val="en-US"/>
        </w:rPr>
        <w:t>The partnership will have</w:t>
      </w:r>
      <w:r>
        <w:rPr>
          <w:rStyle w:val="style4098"/>
          <w:rFonts w:ascii="Calibri" w:cs="Calibri" w:hAnsi="Calibri"/>
          <w:sz w:val="22"/>
          <w:szCs w:val="22"/>
        </w:rPr>
        <w:t xml:space="preserve"> two components-flexible funding and </w:t>
      </w:r>
      <w:r>
        <w:rPr>
          <w:rStyle w:val="style4098"/>
          <w:rFonts w:ascii="Calibri" w:cs="Calibri" w:hAnsi="Calibri"/>
          <w:sz w:val="22"/>
          <w:szCs w:val="22"/>
          <w:lang w:val="en-US"/>
        </w:rPr>
        <w:t>restricted (</w:t>
      </w:r>
      <w:r>
        <w:rPr>
          <w:rStyle w:val="style4098"/>
          <w:rFonts w:ascii="Calibri" w:cs="Calibri" w:hAnsi="Calibri"/>
          <w:sz w:val="22"/>
          <w:szCs w:val="22"/>
        </w:rPr>
        <w:t>organizational strengthening</w:t>
      </w:r>
      <w:r>
        <w:rPr>
          <w:rStyle w:val="style4098"/>
          <w:rFonts w:ascii="Calibri" w:cs="Calibri" w:hAnsi="Calibri"/>
          <w:sz w:val="22"/>
          <w:szCs w:val="22"/>
          <w:lang w:val="en-US"/>
        </w:rPr>
        <w:t xml:space="preserve">) funding. </w:t>
      </w:r>
    </w:p>
    <w:p>
      <w:pPr>
        <w:pStyle w:val="style4097"/>
        <w:jc w:val="both"/>
        <w:rPr>
          <w:rFonts w:ascii="Calibri" w:cs="Calibri" w:hAnsi="Calibri"/>
          <w:sz w:val="22"/>
          <w:szCs w:val="22"/>
        </w:rPr>
      </w:pPr>
      <w:r>
        <w:rPr>
          <w:rFonts w:ascii="Calibri" w:cs="Calibri" w:hAnsi="Calibri"/>
          <w:i/>
          <w:sz w:val="22"/>
          <w:szCs w:val="22"/>
          <w:u w:val="single"/>
        </w:rPr>
        <w:t xml:space="preserve">The flexible </w:t>
      </w:r>
      <w:r>
        <w:rPr>
          <w:rFonts w:ascii="Calibri" w:cs="Calibri" w:hAnsi="Calibri"/>
          <w:sz w:val="22"/>
          <w:szCs w:val="22"/>
          <w:u w:val="single"/>
        </w:rPr>
        <w:t>funding</w:t>
      </w:r>
      <w:r>
        <w:rPr>
          <w:rFonts w:ascii="Calibri" w:cs="Calibri" w:hAnsi="Calibri"/>
          <w:sz w:val="22"/>
          <w:szCs w:val="22"/>
        </w:rPr>
        <w:t xml:space="preserve"> will create opportunities for organisations to invest in their strategic direction, for example around the implementation of their existing strategic plan, or a review and realignment of organisational priorities that will help them increase their contribution to impacts in specific CSSP thematic sectors/areas. </w:t>
      </w:r>
    </w:p>
    <w:p>
      <w:pPr>
        <w:pStyle w:val="style0"/>
        <w:spacing w:before="240" w:after="240" w:lineRule="auto" w:line="240"/>
        <w:jc w:val="both"/>
        <w:rPr>
          <w:rFonts w:cs="Calibri"/>
        </w:rPr>
      </w:pPr>
      <w:r>
        <w:rPr>
          <w:rFonts w:cs="Calibri"/>
          <w:i/>
          <w:iCs/>
          <w:u w:val="single"/>
        </w:rPr>
        <w:t>The restricted funding</w:t>
      </w:r>
      <w:r>
        <w:rPr>
          <w:rFonts w:cs="Calibri"/>
          <w:i/>
        </w:rPr>
        <w:t xml:space="preserve"> </w:t>
      </w:r>
      <w:r>
        <w:rPr>
          <w:rFonts w:cs="Calibri"/>
        </w:rPr>
        <w:t xml:space="preserve">is for organisational strengthening and capacity development. Organisations will determine areas of growth and develop an action plan for the period of implementation of its flexible funding. As part of organisational assessment, they will be supported in understanding and deciding for themselves where they need to strengthen, and then finding and procuring the support they need to meet those needs. </w:t>
      </w:r>
    </w:p>
    <w:p>
      <w:pPr>
        <w:pStyle w:val="style0"/>
        <w:spacing w:after="0" w:lineRule="auto" w:line="240"/>
        <w:jc w:val="both"/>
        <w:rPr>
          <w:rFonts w:cs="Calibri"/>
        </w:rPr>
      </w:pPr>
      <w:r>
        <w:rPr>
          <w:rFonts w:cs="Calibri"/>
        </w:rPr>
        <w:t>Applications have been received from prospective partners</w:t>
      </w:r>
      <w:r>
        <w:rPr>
          <w:rFonts w:cs="Calibri"/>
        </w:rPr>
        <w:t xml:space="preserve">, evaluated, and recommendations of </w:t>
      </w:r>
      <w:r>
        <w:rPr>
          <w:rFonts w:cs="Calibri"/>
        </w:rPr>
        <w:t>o</w:t>
      </w:r>
      <w:r>
        <w:rPr>
          <w:rFonts w:cs="Calibri"/>
        </w:rPr>
        <w:t>rganisations for consideration for this Fund have been submitted to the SGF Secretariat</w:t>
      </w:r>
      <w:r>
        <w:rPr>
          <w:rFonts w:cs="Calibri"/>
        </w:rPr>
        <w:t xml:space="preserve"> for the final approval processes. As part of the</w:t>
      </w:r>
      <w:r>
        <w:rPr>
          <w:rFonts w:cs="Calibri"/>
        </w:rPr>
        <w:t xml:space="preserve">se processes, the SGF Secretariat requires the services of consultants to </w:t>
      </w:r>
      <w:r>
        <w:rPr>
          <w:rFonts w:cs="Calibri"/>
        </w:rPr>
        <w:t>conduct the ‘Know your Partner’ assessment for these recommended organisations.</w:t>
      </w:r>
    </w:p>
    <w:p>
      <w:pPr>
        <w:pStyle w:val="style0"/>
        <w:spacing w:before="100" w:beforeAutospacing="true" w:after="100" w:afterAutospacing="true" w:lineRule="auto" w:line="240"/>
        <w:jc w:val="both"/>
        <w:outlineLvl w:val="1"/>
        <w:rPr>
          <w:rFonts w:cs="Calibri" w:eastAsia="Times New Roman"/>
          <w:b/>
          <w:bCs/>
          <w:lang w:eastAsia="en-GB"/>
        </w:rPr>
      </w:pPr>
      <w:r>
        <w:rPr>
          <w:rFonts w:cs="Calibri" w:eastAsia="Times New Roman"/>
          <w:b/>
          <w:bCs/>
          <w:lang w:eastAsia="en-GB"/>
        </w:rPr>
        <w:t>2.0</w:t>
      </w:r>
      <w:r>
        <w:rPr>
          <w:rFonts w:cs="Calibri" w:eastAsia="Times New Roman"/>
          <w:b/>
          <w:bCs/>
          <w:lang w:eastAsia="en-GB"/>
        </w:rPr>
        <w:tab/>
      </w:r>
      <w:r>
        <w:rPr>
          <w:rFonts w:cs="Calibri" w:eastAsia="Times New Roman"/>
          <w:b/>
          <w:bCs/>
          <w:lang w:eastAsia="en-GB"/>
        </w:rPr>
        <w:t>Purpose of Assignment</w:t>
      </w:r>
    </w:p>
    <w:p>
      <w:pPr>
        <w:pStyle w:val="style0"/>
        <w:shd w:val="clear" w:color="auto" w:fill="ffffff"/>
        <w:suppressAutoHyphens/>
        <w:spacing w:before="77" w:after="113" w:lineRule="auto" w:line="240"/>
        <w:jc w:val="both"/>
        <w:rPr>
          <w:rFonts w:cs="Calibri" w:eastAsia="Times New Roman"/>
        </w:rPr>
      </w:pPr>
      <w:r>
        <w:rPr>
          <w:rFonts w:cs="Calibri" w:eastAsia="Times New Roman"/>
        </w:rPr>
        <w:t xml:space="preserve">The purpose of the assignment is to assess the capacity of the pre-approved organisations, and appropriateness of their organisational systems and processes for project management as well as their competencies to manage funds and achieve results. The due diligence is not primarily targeted at eliminating them, rather SGF’s focus is to identify the weaknesses and risks in the organisations’ structure and/or processes to determine areas for capacity support gaps in their operations to support them to address these gaps and provide them with the needed capacity, systems and processes to function in a more effective and efficient manner. Additionally, SGF is interested in building the capacity of these CBOs for </w:t>
      </w:r>
      <w:r>
        <w:rPr>
          <w:rFonts w:cs="Calibri" w:eastAsia="Times New Roman"/>
        </w:rPr>
        <w:t>effective delivery of their mandates.</w:t>
      </w:r>
    </w:p>
    <w:p>
      <w:pPr>
        <w:pStyle w:val="style0"/>
        <w:spacing w:before="100" w:beforeAutospacing="true" w:after="100" w:afterAutospacing="true" w:lineRule="auto" w:line="240"/>
        <w:jc w:val="both"/>
        <w:outlineLvl w:val="1"/>
        <w:rPr>
          <w:rFonts w:cs="Calibri" w:eastAsia="Times New Roman"/>
          <w:b/>
          <w:bCs/>
          <w:lang w:eastAsia="en-GB"/>
        </w:rPr>
      </w:pPr>
      <w:r>
        <w:rPr>
          <w:rFonts w:cs="Calibri" w:eastAsia="Times New Roman"/>
          <w:b/>
          <w:bCs/>
          <w:lang w:eastAsia="en-GB"/>
        </w:rPr>
        <w:t>3.0</w:t>
      </w:r>
      <w:r>
        <w:rPr>
          <w:rFonts w:cs="Calibri" w:eastAsia="Times New Roman"/>
          <w:b/>
          <w:bCs/>
          <w:lang w:eastAsia="en-GB"/>
        </w:rPr>
        <w:tab/>
      </w:r>
      <w:r>
        <w:rPr>
          <w:rFonts w:cs="Calibri" w:eastAsia="Times New Roman"/>
          <w:b/>
          <w:bCs/>
          <w:lang w:eastAsia="en-GB"/>
        </w:rPr>
        <w:t>Approach and scope of work</w:t>
      </w:r>
    </w:p>
    <w:p>
      <w:pPr>
        <w:pStyle w:val="style0"/>
        <w:adjustRightInd w:val="false"/>
        <w:spacing w:after="0" w:lineRule="auto" w:line="240"/>
        <w:jc w:val="both"/>
        <w:rPr>
          <w:rFonts w:cs="Calibri" w:eastAsia="Arial"/>
          <w:lang w:eastAsia="en-GB"/>
        </w:rPr>
      </w:pPr>
      <w:r>
        <w:rPr>
          <w:rFonts w:cs="Calibri" w:eastAsia="Arial"/>
          <w:lang w:eastAsia="en-GB"/>
        </w:rPr>
        <w:t xml:space="preserve">The due diligence exercise will involve </w:t>
      </w:r>
      <w:r>
        <w:rPr>
          <w:rFonts w:cs="Calibri" w:eastAsia="Arial"/>
          <w:lang w:eastAsia="en-GB"/>
        </w:rPr>
        <w:t>an initial</w:t>
      </w:r>
      <w:r>
        <w:rPr>
          <w:rFonts w:cs="Calibri" w:eastAsia="Arial"/>
          <w:lang w:eastAsia="en-GB"/>
        </w:rPr>
        <w:t xml:space="preserve"> off-site review of </w:t>
      </w:r>
      <w:r>
        <w:rPr>
          <w:rFonts w:cs="Calibri" w:eastAsia="Arial"/>
          <w:lang w:eastAsia="en-GB"/>
        </w:rPr>
        <w:t xml:space="preserve">the prospective partner’s </w:t>
      </w:r>
      <w:r>
        <w:rPr>
          <w:rFonts w:cs="Calibri" w:eastAsia="Arial"/>
          <w:lang w:eastAsia="en-GB"/>
        </w:rPr>
        <w:t>documents</w:t>
      </w:r>
      <w:r>
        <w:rPr>
          <w:rFonts w:cs="Calibri" w:eastAsia="Arial"/>
          <w:lang w:eastAsia="en-GB"/>
        </w:rPr>
        <w:t xml:space="preserve"> and processes, using</w:t>
      </w:r>
      <w:r>
        <w:rPr>
          <w:rFonts w:cs="Calibri" w:eastAsia="Arial"/>
          <w:lang w:eastAsia="en-GB"/>
        </w:rPr>
        <w:t xml:space="preserve"> virtual interviews (phone or via tele-conferencing) with relevant Staff.</w:t>
      </w:r>
      <w:r>
        <w:rPr>
          <w:rFonts w:cs="Calibri" w:eastAsia="Arial"/>
          <w:lang w:eastAsia="en-GB"/>
        </w:rPr>
        <w:t xml:space="preserve"> After which the Consultant will be required to sample a few of the organisations for on-site visits to do physical verification of information provided by the organisation</w:t>
      </w:r>
      <w:r>
        <w:rPr>
          <w:rFonts w:cs="Calibri" w:eastAsia="Arial"/>
          <w:lang w:eastAsia="en-GB"/>
        </w:rPr>
        <w:t xml:space="preserve">. Details of the task are elaborated below: </w:t>
      </w:r>
    </w:p>
    <w:p>
      <w:pPr>
        <w:pStyle w:val="style0"/>
        <w:adjustRightInd w:val="false"/>
        <w:spacing w:after="0" w:lineRule="auto" w:line="240"/>
        <w:jc w:val="both"/>
        <w:rPr>
          <w:rFonts w:cs="Calibri" w:eastAsia="Arial"/>
          <w:lang w:eastAsia="en-GB"/>
        </w:rPr>
      </w:pPr>
    </w:p>
    <w:p>
      <w:pPr>
        <w:pStyle w:val="style0"/>
        <w:adjustRightInd w:val="false"/>
        <w:spacing w:after="0" w:lineRule="auto" w:line="240"/>
        <w:jc w:val="both"/>
        <w:rPr>
          <w:rFonts w:cs="Calibri" w:eastAsia="Arial"/>
          <w:u w:val="single"/>
          <w:lang w:eastAsia="en-GB"/>
        </w:rPr>
      </w:pPr>
      <w:r>
        <w:rPr>
          <w:rFonts w:cs="Calibri" w:eastAsia="Arial"/>
          <w:u w:val="single"/>
          <w:lang w:eastAsia="en-GB"/>
        </w:rPr>
        <w:t xml:space="preserve">Task 1: </w:t>
      </w:r>
      <w:r>
        <w:rPr>
          <w:rFonts w:cs="Calibri" w:eastAsia="Arial"/>
          <w:u w:val="single"/>
          <w:lang w:eastAsia="en-GB"/>
        </w:rPr>
        <w:t>Submit a Plan of Action/Workplan for the Assignment</w:t>
      </w:r>
    </w:p>
    <w:p>
      <w:pPr>
        <w:pStyle w:val="style0"/>
        <w:adjustRightInd w:val="false"/>
        <w:spacing w:after="0" w:lineRule="auto" w:line="240"/>
        <w:jc w:val="both"/>
        <w:rPr>
          <w:rFonts w:cs="Calibri" w:eastAsia="Arial"/>
          <w:u w:val="single"/>
          <w:lang w:eastAsia="en-GB"/>
        </w:rPr>
      </w:pPr>
    </w:p>
    <w:p>
      <w:pPr>
        <w:pStyle w:val="style0"/>
        <w:adjustRightInd w:val="false"/>
        <w:spacing w:after="0" w:lineRule="auto" w:line="240"/>
        <w:jc w:val="both"/>
        <w:rPr>
          <w:rFonts w:cs="Calibri" w:eastAsia="Arial"/>
          <w:lang w:eastAsia="en-GB"/>
        </w:rPr>
      </w:pPr>
      <w:r>
        <w:rPr>
          <w:rFonts w:cs="Calibri" w:eastAsia="Arial"/>
          <w:lang w:eastAsia="en-GB"/>
        </w:rPr>
        <w:t>The Consultant will be required to submit a plan of action or workplan and methodology for conducting the due diligence to STAR-Ghana Foundation for review and consensus</w:t>
      </w:r>
      <w:r>
        <w:rPr>
          <w:rFonts w:cs="Calibri" w:eastAsia="Arial"/>
          <w:lang w:eastAsia="en-GB"/>
        </w:rPr>
        <w:t>.</w:t>
      </w:r>
    </w:p>
    <w:p>
      <w:pPr>
        <w:pStyle w:val="style0"/>
        <w:adjustRightInd w:val="false"/>
        <w:spacing w:after="0" w:lineRule="auto" w:line="240"/>
        <w:jc w:val="both"/>
        <w:rPr>
          <w:rFonts w:cs="Calibri" w:eastAsia="Arial"/>
          <w:u w:val="single"/>
          <w:lang w:eastAsia="en-GB"/>
        </w:rPr>
      </w:pPr>
    </w:p>
    <w:p>
      <w:pPr>
        <w:pStyle w:val="style0"/>
        <w:adjustRightInd w:val="false"/>
        <w:spacing w:after="0" w:lineRule="auto" w:line="240"/>
        <w:jc w:val="both"/>
        <w:rPr>
          <w:rFonts w:cs="Calibri" w:eastAsia="Arial"/>
          <w:color w:val="ff0000"/>
          <w:u w:val="single"/>
          <w:lang w:eastAsia="en-GB"/>
        </w:rPr>
      </w:pPr>
      <w:r>
        <w:rPr>
          <w:rFonts w:cs="Calibri" w:eastAsia="Arial"/>
          <w:u w:val="single"/>
          <w:lang w:eastAsia="en-GB"/>
        </w:rPr>
        <w:t xml:space="preserve">Task 2: </w:t>
      </w:r>
      <w:r>
        <w:rPr>
          <w:rFonts w:cs="Calibri" w:eastAsia="Arial"/>
          <w:u w:val="single"/>
          <w:lang w:eastAsia="en-GB"/>
        </w:rPr>
        <w:t xml:space="preserve">Undertake Due Diligence (DD) on organisations  </w:t>
      </w:r>
    </w:p>
    <w:p>
      <w:pPr>
        <w:pStyle w:val="style0"/>
        <w:adjustRightInd w:val="false"/>
        <w:spacing w:before="240" w:after="0" w:lineRule="auto" w:line="240"/>
        <w:jc w:val="both"/>
        <w:rPr>
          <w:rFonts w:cs="Calibri" w:eastAsia="Arial"/>
          <w:lang w:eastAsia="en-GB"/>
        </w:rPr>
      </w:pPr>
      <w:r>
        <w:rPr>
          <w:rFonts w:cs="Calibri" w:eastAsia="Arial"/>
          <w:lang w:eastAsia="en-GB"/>
        </w:rPr>
        <w:t>As mentioned above, the Consultant shall do a virtual assessment of the organisation’s systems and procedures and their capacity to manage funds and implement project</w:t>
      </w:r>
      <w:r>
        <w:rPr>
          <w:rFonts w:cs="Calibri" w:eastAsia="Arial"/>
          <w:lang w:eastAsia="en-GB"/>
        </w:rPr>
        <w:t>s</w:t>
      </w:r>
      <w:r>
        <w:rPr>
          <w:rFonts w:cs="Calibri" w:eastAsia="Arial"/>
          <w:lang w:eastAsia="en-GB"/>
        </w:rPr>
        <w:t>. The Consultant will do a desk review o</w:t>
      </w:r>
      <w:r>
        <w:rPr>
          <w:rFonts w:cs="Calibri" w:eastAsia="Arial"/>
          <w:lang w:eastAsia="en-GB"/>
        </w:rPr>
        <w:t>f</w:t>
      </w:r>
      <w:r>
        <w:rPr>
          <w:rFonts w:cs="Calibri" w:eastAsia="Arial"/>
          <w:lang w:eastAsia="en-GB"/>
        </w:rPr>
        <w:t xml:space="preserve"> all the documents that shall be presented by the Partner. Again, offsite interviews will be held with key Staff of the Organisation</w:t>
      </w:r>
      <w:r>
        <w:rPr>
          <w:rFonts w:cs="Calibri" w:eastAsia="Arial"/>
          <w:lang w:eastAsia="en-GB"/>
        </w:rPr>
        <w:t>, key informants in the communities/districts/regions where the organisation is located (these will be identified by the Consultant, in consultation with SGF, as part of the assignment), to ascertain their legitimacy and rootedness and</w:t>
      </w:r>
      <w:r>
        <w:rPr>
          <w:rFonts w:cs="Calibri" w:eastAsia="Arial"/>
          <w:lang w:eastAsia="en-GB"/>
        </w:rPr>
        <w:t xml:space="preserve"> to validate some of the information</w:t>
      </w:r>
      <w:r>
        <w:rPr>
          <w:rFonts w:cs="Calibri" w:eastAsia="Arial"/>
          <w:lang w:eastAsia="en-GB"/>
        </w:rPr>
        <w:t xml:space="preserve"> received</w:t>
      </w:r>
      <w:r>
        <w:rPr>
          <w:rFonts w:cs="Calibri" w:eastAsia="Arial"/>
          <w:lang w:eastAsia="en-GB"/>
        </w:rPr>
        <w:t xml:space="preserve">. </w:t>
      </w:r>
      <w:r>
        <w:rPr>
          <w:rFonts w:cs="Calibri" w:eastAsia="Arial"/>
          <w:lang w:eastAsia="en-GB"/>
        </w:rPr>
        <w:t>Finally, the Consultant will select a sample of the organisations for on-site checks to verify the information gathered/submitted.</w:t>
      </w:r>
    </w:p>
    <w:p>
      <w:pPr>
        <w:pStyle w:val="style0"/>
        <w:adjustRightInd w:val="false"/>
        <w:spacing w:before="240" w:after="0" w:lineRule="auto" w:line="240"/>
        <w:jc w:val="both"/>
        <w:rPr>
          <w:rFonts w:cs="Calibri" w:eastAsia="Arial"/>
          <w:lang w:eastAsia="en-GB"/>
        </w:rPr>
      </w:pPr>
      <w:r>
        <w:rPr>
          <w:rFonts w:cs="Calibri" w:eastAsia="Arial"/>
          <w:lang w:eastAsia="en-GB"/>
        </w:rPr>
        <w:t>These check-up processes will be undertaken using a guided due diligence protocol or checklist provided by STAR-Ghana.</w:t>
      </w:r>
    </w:p>
    <w:p>
      <w:pPr>
        <w:pStyle w:val="style0"/>
        <w:adjustRightInd w:val="false"/>
        <w:spacing w:after="0" w:lineRule="auto" w:line="240"/>
        <w:jc w:val="both"/>
        <w:rPr>
          <w:rFonts w:cs="Calibri" w:eastAsia="Arial"/>
          <w:u w:val="single"/>
          <w:lang w:eastAsia="en-GB"/>
        </w:rPr>
      </w:pPr>
    </w:p>
    <w:p>
      <w:pPr>
        <w:pStyle w:val="style0"/>
        <w:adjustRightInd w:val="false"/>
        <w:spacing w:after="0" w:lineRule="auto" w:line="240"/>
        <w:jc w:val="both"/>
        <w:rPr>
          <w:rFonts w:cs="Calibri" w:eastAsia="Arial"/>
          <w:u w:val="single"/>
          <w:lang w:eastAsia="en-GB"/>
        </w:rPr>
      </w:pPr>
      <w:r>
        <w:rPr>
          <w:rFonts w:cs="Calibri" w:eastAsia="Arial"/>
          <w:u w:val="single"/>
          <w:lang w:eastAsia="en-GB"/>
        </w:rPr>
        <w:t xml:space="preserve">Task </w:t>
      </w:r>
      <w:r>
        <w:rPr>
          <w:rFonts w:cs="Calibri" w:eastAsia="Arial"/>
          <w:u w:val="single"/>
          <w:lang w:eastAsia="en-GB"/>
        </w:rPr>
        <w:t>3</w:t>
      </w:r>
      <w:r>
        <w:rPr>
          <w:rFonts w:cs="Calibri" w:eastAsia="Arial"/>
          <w:u w:val="single"/>
          <w:lang w:eastAsia="en-GB"/>
        </w:rPr>
        <w:t xml:space="preserve">: Make recommendations to the </w:t>
      </w:r>
      <w:bookmarkStart w:id="1" w:name="_Hlk20913307"/>
      <w:r>
        <w:rPr>
          <w:rFonts w:cs="Calibri" w:eastAsia="Arial"/>
          <w:u w:val="single"/>
          <w:lang w:eastAsia="en-GB"/>
        </w:rPr>
        <w:t xml:space="preserve">Executive Director </w:t>
      </w:r>
      <w:bookmarkEnd w:id="1"/>
      <w:r>
        <w:rPr>
          <w:rFonts w:cs="Calibri" w:eastAsia="Arial"/>
          <w:u w:val="single"/>
          <w:lang w:eastAsia="en-GB"/>
        </w:rPr>
        <w:t xml:space="preserve">through the </w:t>
      </w:r>
      <w:r>
        <w:rPr>
          <w:rFonts w:cs="Calibri" w:eastAsia="Arial"/>
          <w:u w:val="single"/>
          <w:lang w:eastAsia="en-GB"/>
        </w:rPr>
        <w:t>He</w:t>
      </w:r>
      <w:r>
        <w:rPr>
          <w:rFonts w:cs="Calibri" w:eastAsia="Arial"/>
          <w:u w:val="single"/>
          <w:lang w:eastAsia="en-GB"/>
        </w:rPr>
        <w:t xml:space="preserve">ad, </w:t>
      </w:r>
      <w:r>
        <w:rPr>
          <w:rFonts w:cs="Calibri" w:eastAsia="Arial"/>
          <w:u w:val="single"/>
          <w:lang w:eastAsia="en-GB"/>
        </w:rPr>
        <w:t>Grants</w:t>
      </w:r>
      <w:r>
        <w:rPr>
          <w:rFonts w:cs="Calibri" w:eastAsia="Arial"/>
          <w:u w:val="single"/>
          <w:lang w:eastAsia="en-GB"/>
        </w:rPr>
        <w:t>,</w:t>
      </w:r>
      <w:r>
        <w:rPr>
          <w:rFonts w:cs="Calibri" w:eastAsia="Arial"/>
          <w:u w:val="single"/>
          <w:lang w:eastAsia="en-GB"/>
        </w:rPr>
        <w:t xml:space="preserve"> Resource Mobilisation</w:t>
      </w:r>
      <w:r>
        <w:rPr>
          <w:rFonts w:cs="Calibri" w:eastAsia="Arial"/>
          <w:u w:val="single"/>
          <w:lang w:eastAsia="en-GB"/>
        </w:rPr>
        <w:t xml:space="preserve"> and Compliance</w:t>
      </w:r>
    </w:p>
    <w:p>
      <w:pPr>
        <w:pStyle w:val="style0"/>
        <w:adjustRightInd w:val="false"/>
        <w:spacing w:after="0" w:lineRule="auto" w:line="240"/>
        <w:jc w:val="both"/>
        <w:rPr>
          <w:rFonts w:cs="Calibri" w:eastAsia="Arial"/>
          <w:lang w:eastAsia="en-GB"/>
        </w:rPr>
      </w:pPr>
    </w:p>
    <w:p>
      <w:pPr>
        <w:pStyle w:val="style0"/>
        <w:adjustRightInd w:val="false"/>
        <w:spacing w:after="0" w:lineRule="auto" w:line="240"/>
        <w:jc w:val="both"/>
        <w:rPr>
          <w:rFonts w:cs="Calibri" w:eastAsia="Arial"/>
          <w:lang w:eastAsia="en-GB"/>
        </w:rPr>
      </w:pPr>
      <w:r>
        <w:rPr>
          <w:rFonts w:cs="Calibri" w:eastAsia="Arial"/>
          <w:lang w:eastAsia="en-GB"/>
        </w:rPr>
        <w:t>The due diligence Consultant shall prepare a detailed report based on the findings from the organisation</w:t>
      </w:r>
      <w:r>
        <w:rPr>
          <w:rFonts w:cs="Calibri" w:eastAsia="Arial"/>
          <w:lang w:eastAsia="en-GB"/>
        </w:rPr>
        <w:t>al assessment</w:t>
      </w:r>
      <w:r>
        <w:rPr>
          <w:rFonts w:cs="Calibri" w:eastAsia="Arial"/>
          <w:lang w:eastAsia="en-GB"/>
        </w:rPr>
        <w:t xml:space="preserve"> and present </w:t>
      </w:r>
      <w:r>
        <w:rPr>
          <w:rFonts w:cs="Calibri" w:eastAsia="Arial"/>
          <w:lang w:eastAsia="en-GB"/>
        </w:rPr>
        <w:t xml:space="preserve">same </w:t>
      </w:r>
      <w:r>
        <w:rPr>
          <w:rFonts w:cs="Calibri" w:eastAsia="Arial"/>
          <w:lang w:eastAsia="en-GB"/>
        </w:rPr>
        <w:t xml:space="preserve">to </w:t>
      </w:r>
      <w:r>
        <w:rPr>
          <w:rFonts w:cs="Calibri" w:eastAsia="Arial"/>
          <w:lang w:eastAsia="en-GB"/>
        </w:rPr>
        <w:t>STAR-Ghana Foundation</w:t>
      </w:r>
      <w:r>
        <w:rPr>
          <w:rFonts w:cs="Calibri" w:eastAsia="Arial"/>
          <w:lang w:eastAsia="en-GB"/>
        </w:rPr>
        <w:t xml:space="preserve"> through the</w:t>
      </w:r>
      <w:r>
        <w:rPr>
          <w:rFonts w:cs="Calibri" w:eastAsia="Arial"/>
          <w:lang w:eastAsia="en-GB"/>
        </w:rPr>
        <w:t xml:space="preserve"> </w:t>
      </w:r>
      <w:r>
        <w:rPr>
          <w:rFonts w:cs="Calibri" w:eastAsia="Arial"/>
          <w:lang w:eastAsia="en-GB"/>
        </w:rPr>
        <w:t>Head, Grants, Resource Mobilisation and Compliance</w:t>
      </w:r>
      <w:r>
        <w:rPr>
          <w:rFonts w:cs="Calibri" w:eastAsia="Arial"/>
          <w:lang w:eastAsia="en-GB"/>
        </w:rPr>
        <w:t xml:space="preserve">. </w:t>
      </w:r>
      <w:r>
        <w:rPr>
          <w:rFonts w:cs="Calibri" w:eastAsia="Arial"/>
          <w:lang w:eastAsia="en-GB"/>
        </w:rPr>
        <w:t>F</w:t>
      </w:r>
      <w:r>
        <w:rPr>
          <w:rFonts w:cs="Calibri" w:eastAsia="Arial"/>
          <w:lang w:eastAsia="en-GB"/>
        </w:rPr>
        <w:t xml:space="preserve">or each Organisation, the consultant will be required to express an opinion </w:t>
      </w:r>
      <w:r>
        <w:rPr>
          <w:rFonts w:cs="Calibri" w:eastAsia="Arial"/>
          <w:lang w:eastAsia="en-GB"/>
        </w:rPr>
        <w:t>on</w:t>
      </w:r>
      <w:r>
        <w:rPr>
          <w:rFonts w:cs="Calibri" w:eastAsia="Arial"/>
          <w:lang w:eastAsia="en-GB"/>
        </w:rPr>
        <w:t xml:space="preserve"> </w:t>
      </w:r>
      <w:r>
        <w:rPr>
          <w:rFonts w:cs="Calibri" w:eastAsia="Arial"/>
          <w:lang w:eastAsia="en-GB"/>
        </w:rPr>
        <w:t xml:space="preserve">their suitability or otherwise as a grant partner </w:t>
      </w:r>
      <w:r>
        <w:rPr>
          <w:rFonts w:cs="Calibri" w:eastAsia="Arial"/>
          <w:lang w:eastAsia="en-GB"/>
        </w:rPr>
        <w:t>and the reasons for such opinion or position.</w:t>
      </w:r>
      <w:r>
        <w:rPr>
          <w:rFonts w:cs="Calibri" w:eastAsia="Arial"/>
          <w:lang w:eastAsia="en-GB"/>
        </w:rPr>
        <w:t xml:space="preserve"> </w:t>
      </w:r>
    </w:p>
    <w:p>
      <w:pPr>
        <w:pStyle w:val="style0"/>
        <w:adjustRightInd w:val="false"/>
        <w:spacing w:after="0" w:lineRule="auto" w:line="240"/>
        <w:jc w:val="both"/>
        <w:rPr>
          <w:rFonts w:cs="Calibri" w:eastAsia="Arial"/>
          <w:lang w:eastAsia="en-GB"/>
        </w:rPr>
      </w:pPr>
    </w:p>
    <w:p>
      <w:pPr>
        <w:pStyle w:val="style0"/>
        <w:adjustRightInd w:val="false"/>
        <w:spacing w:after="0" w:lineRule="auto" w:line="240"/>
        <w:jc w:val="both"/>
        <w:rPr>
          <w:rFonts w:cs="Calibri" w:eastAsia="Arial"/>
          <w:u w:val="single"/>
          <w:lang w:eastAsia="en-GB"/>
        </w:rPr>
      </w:pPr>
      <w:r>
        <w:rPr>
          <w:rFonts w:cs="Calibri" w:eastAsia="Arial"/>
          <w:u w:val="single"/>
          <w:lang w:eastAsia="en-GB"/>
        </w:rPr>
        <w:t xml:space="preserve">Task </w:t>
      </w:r>
      <w:r>
        <w:rPr>
          <w:rFonts w:cs="Calibri" w:eastAsia="Arial"/>
          <w:u w:val="single"/>
          <w:lang w:eastAsia="en-GB"/>
        </w:rPr>
        <w:t>4</w:t>
      </w:r>
      <w:r>
        <w:rPr>
          <w:rFonts w:cs="Calibri" w:eastAsia="Arial"/>
          <w:u w:val="single"/>
          <w:lang w:eastAsia="en-GB"/>
        </w:rPr>
        <w:t>: Make recommendations of the capacity support needs of recommended organisations.</w:t>
      </w:r>
    </w:p>
    <w:p>
      <w:pPr>
        <w:pStyle w:val="style0"/>
        <w:adjustRightInd w:val="false"/>
        <w:spacing w:after="0" w:lineRule="auto" w:line="240"/>
        <w:jc w:val="both"/>
        <w:rPr>
          <w:rFonts w:cs="Calibri" w:eastAsia="Arial"/>
          <w:u w:val="single"/>
          <w:lang w:eastAsia="en-GB"/>
        </w:rPr>
      </w:pPr>
    </w:p>
    <w:p>
      <w:pPr>
        <w:pStyle w:val="style0"/>
        <w:adjustRightInd w:val="false"/>
        <w:spacing w:after="0" w:lineRule="auto" w:line="240"/>
        <w:jc w:val="both"/>
        <w:rPr>
          <w:rFonts w:cs="Calibri" w:eastAsia="Arial"/>
          <w:lang w:eastAsia="en-GB"/>
        </w:rPr>
      </w:pPr>
      <w:r>
        <w:rPr>
          <w:rFonts w:cs="Calibri" w:eastAsia="Arial"/>
          <w:lang w:eastAsia="en-GB"/>
        </w:rPr>
        <w:t>Where the Consultant recommends a partner, he/she will further i</w:t>
      </w:r>
      <w:r>
        <w:rPr>
          <w:rFonts w:cs="Calibri" w:eastAsia="Arial"/>
          <w:lang w:eastAsia="en-GB"/>
        </w:rPr>
        <w:t xml:space="preserve">dentify potential capacity gaps and recommend relevant training, and/or capacity support that could further enhance and strengthen the effectiveness and efficiency of the </w:t>
      </w:r>
      <w:r>
        <w:rPr>
          <w:rFonts w:cs="Calibri" w:eastAsia="Arial"/>
          <w:lang w:eastAsia="en-GB"/>
        </w:rPr>
        <w:t>recommended o</w:t>
      </w:r>
      <w:r>
        <w:rPr>
          <w:rFonts w:cs="Calibri" w:eastAsia="Arial"/>
          <w:lang w:eastAsia="en-GB"/>
        </w:rPr>
        <w:t>rganisation to implement the project and manage the funds.</w:t>
      </w:r>
    </w:p>
    <w:p>
      <w:pPr>
        <w:pStyle w:val="style0"/>
        <w:adjustRightInd w:val="false"/>
        <w:spacing w:after="0" w:lineRule="auto" w:line="240"/>
        <w:jc w:val="both"/>
        <w:rPr>
          <w:rFonts w:cs="Calibri" w:eastAsia="Arial"/>
          <w:lang w:eastAsia="en-GB"/>
        </w:rPr>
      </w:pPr>
    </w:p>
    <w:p>
      <w:pPr>
        <w:pStyle w:val="style0"/>
        <w:keepNext/>
        <w:suppressAutoHyphens/>
        <w:spacing w:before="77" w:after="113" w:lineRule="auto" w:line="240"/>
        <w:ind w:left="576" w:hanging="576"/>
        <w:jc w:val="both"/>
        <w:outlineLvl w:val="1"/>
        <w:rPr>
          <w:rFonts w:cs="Calibri" w:eastAsia="Times New Roman"/>
          <w:b/>
          <w:bCs/>
          <w:u w:val="single"/>
        </w:rPr>
      </w:pPr>
      <w:r>
        <w:rPr>
          <w:rFonts w:cs="Calibri" w:eastAsia="Times New Roman"/>
          <w:b/>
          <w:bCs/>
        </w:rPr>
        <w:t>4.0</w:t>
      </w:r>
      <w:r>
        <w:rPr>
          <w:rFonts w:cs="Calibri" w:eastAsia="Times New Roman"/>
          <w:b/>
          <w:bCs/>
        </w:rPr>
        <w:tab/>
      </w:r>
      <w:r>
        <w:rPr>
          <w:rFonts w:cs="Calibri" w:eastAsia="Times New Roman"/>
          <w:b/>
          <w:bCs/>
        </w:rPr>
        <w:t>Deliverables</w:t>
      </w:r>
    </w:p>
    <w:p>
      <w:pPr>
        <w:pStyle w:val="style0"/>
        <w:numPr>
          <w:ilvl w:val="0"/>
          <w:numId w:val="13"/>
        </w:numPr>
        <w:adjustRightInd w:val="false"/>
        <w:spacing w:after="0" w:lineRule="auto" w:line="240"/>
        <w:jc w:val="both"/>
        <w:contextualSpacing/>
        <w:rPr>
          <w:rFonts w:cs="Calibri" w:eastAsia="Times New Roman"/>
          <w:lang w:eastAsia="en-GB"/>
        </w:rPr>
      </w:pPr>
      <w:r>
        <w:rPr>
          <w:rFonts w:cs="Calibri" w:eastAsia="Times New Roman"/>
          <w:lang w:eastAsia="en-GB"/>
        </w:rPr>
        <w:t>A workplan and methodology for conducting the Due Diligence</w:t>
      </w:r>
    </w:p>
    <w:p>
      <w:pPr>
        <w:pStyle w:val="style0"/>
        <w:numPr>
          <w:ilvl w:val="0"/>
          <w:numId w:val="13"/>
        </w:numPr>
        <w:adjustRightInd w:val="false"/>
        <w:spacing w:after="0" w:lineRule="auto" w:line="240"/>
        <w:jc w:val="both"/>
        <w:contextualSpacing/>
        <w:rPr>
          <w:rFonts w:cs="Calibri" w:eastAsia="Times New Roman"/>
          <w:lang w:eastAsia="en-GB"/>
        </w:rPr>
      </w:pPr>
      <w:r>
        <w:rPr>
          <w:rFonts w:cs="Calibri" w:eastAsia="Times New Roman"/>
          <w:lang w:eastAsia="en-GB"/>
        </w:rPr>
        <w:t>A report on the off-site and on-site assessment of selected organisations</w:t>
      </w:r>
    </w:p>
    <w:p>
      <w:pPr>
        <w:pStyle w:val="style0"/>
        <w:numPr>
          <w:ilvl w:val="0"/>
          <w:numId w:val="13"/>
        </w:numPr>
        <w:adjustRightInd w:val="false"/>
        <w:spacing w:after="0" w:lineRule="auto" w:line="240"/>
        <w:jc w:val="both"/>
        <w:contextualSpacing/>
        <w:rPr>
          <w:rFonts w:cs="Calibri" w:eastAsia="Times New Roman"/>
          <w:lang w:eastAsia="en-GB"/>
        </w:rPr>
      </w:pPr>
      <w:r>
        <w:rPr>
          <w:rFonts w:cs="Calibri" w:eastAsia="Times New Roman"/>
          <w:lang w:eastAsia="en-GB"/>
        </w:rPr>
        <w:t>A completed due diligence assessment sheet for each organisation (attached as Annex)</w:t>
      </w:r>
      <w:r>
        <w:rPr>
          <w:rFonts w:cs="Calibri" w:eastAsia="Times New Roman"/>
          <w:lang w:eastAsia="en-GB"/>
        </w:rPr>
        <w:t>.</w:t>
      </w:r>
    </w:p>
    <w:p>
      <w:pPr>
        <w:pStyle w:val="style0"/>
        <w:numPr>
          <w:ilvl w:val="0"/>
          <w:numId w:val="13"/>
        </w:numPr>
        <w:adjustRightInd w:val="false"/>
        <w:spacing w:after="0" w:lineRule="auto" w:line="240"/>
        <w:jc w:val="both"/>
        <w:contextualSpacing/>
        <w:rPr>
          <w:rFonts w:cs="Calibri" w:eastAsia="Times New Roman"/>
          <w:lang w:eastAsia="en-GB"/>
        </w:rPr>
      </w:pPr>
      <w:r>
        <w:rPr>
          <w:rFonts w:cs="Calibri" w:eastAsia="Times New Roman"/>
          <w:lang w:eastAsia="en-GB"/>
        </w:rPr>
        <w:t>A Summary report sheet summarising the recommendations or otherwise of organisation</w:t>
      </w:r>
      <w:r>
        <w:rPr>
          <w:rFonts w:cs="Calibri" w:eastAsia="Times New Roman"/>
          <w:lang w:eastAsia="en-GB"/>
        </w:rPr>
        <w:t>.</w:t>
      </w:r>
      <w:r>
        <w:rPr>
          <w:rFonts w:cs="Calibri" w:eastAsia="Times New Roman"/>
          <w:lang w:eastAsia="en-GB"/>
        </w:rPr>
        <w:t xml:space="preserve"> </w:t>
      </w:r>
    </w:p>
    <w:p>
      <w:pPr>
        <w:pStyle w:val="style0"/>
        <w:numPr>
          <w:ilvl w:val="0"/>
          <w:numId w:val="13"/>
        </w:numPr>
        <w:adjustRightInd w:val="false"/>
        <w:spacing w:after="0" w:lineRule="auto" w:line="240"/>
        <w:jc w:val="both"/>
        <w:contextualSpacing/>
        <w:rPr>
          <w:rFonts w:cs="Calibri" w:eastAsia="Times New Roman"/>
          <w:lang w:eastAsia="en-GB"/>
        </w:rPr>
      </w:pPr>
      <w:r>
        <w:rPr>
          <w:rFonts w:cs="Calibri" w:eastAsia="Times New Roman"/>
          <w:lang w:eastAsia="en-GB"/>
        </w:rPr>
        <w:t>An end-of-assignment report to be submitted alongside the first t</w:t>
      </w:r>
      <w:r>
        <w:rPr>
          <w:rFonts w:cs="Calibri" w:eastAsia="Times New Roman"/>
          <w:lang w:eastAsia="en-GB"/>
        </w:rPr>
        <w:t>hree</w:t>
      </w:r>
      <w:r>
        <w:rPr>
          <w:rFonts w:cs="Calibri" w:eastAsia="Times New Roman"/>
          <w:lang w:eastAsia="en-GB"/>
        </w:rPr>
        <w:t xml:space="preserve"> deliverables; such report should provide: </w:t>
      </w:r>
    </w:p>
    <w:p>
      <w:pPr>
        <w:pStyle w:val="style0"/>
        <w:numPr>
          <w:ilvl w:val="0"/>
          <w:numId w:val="14"/>
        </w:numPr>
        <w:adjustRightInd w:val="false"/>
        <w:spacing w:after="0" w:lineRule="auto" w:line="240"/>
        <w:jc w:val="both"/>
        <w:rPr>
          <w:rFonts w:cs="Calibri" w:eastAsia="Arial"/>
          <w:lang w:eastAsia="en-GB"/>
        </w:rPr>
      </w:pPr>
      <w:r>
        <w:rPr>
          <w:rFonts w:cs="Calibri" w:eastAsia="Arial"/>
          <w:lang w:eastAsia="en-GB"/>
        </w:rPr>
        <w:t xml:space="preserve">Feedback on the due diligence process including key issues emerging, challenges experienced with the testing tool and </w:t>
      </w:r>
    </w:p>
    <w:p>
      <w:pPr>
        <w:pStyle w:val="style0"/>
        <w:numPr>
          <w:ilvl w:val="0"/>
          <w:numId w:val="14"/>
        </w:numPr>
        <w:adjustRightInd w:val="false"/>
        <w:spacing w:after="0" w:lineRule="auto" w:line="240"/>
        <w:jc w:val="both"/>
        <w:rPr>
          <w:rFonts w:cs="Calibri" w:eastAsia="Arial"/>
          <w:lang w:eastAsia="en-GB"/>
        </w:rPr>
      </w:pPr>
      <w:r>
        <w:rPr>
          <w:rFonts w:cs="Calibri" w:eastAsia="Arial"/>
          <w:lang w:eastAsia="en-GB"/>
        </w:rPr>
        <w:t>Recommendations for the way forward (new learning) for STAR-Ghana Foundation grant provision process. </w:t>
      </w:r>
    </w:p>
    <w:p>
      <w:pPr>
        <w:pStyle w:val="style0"/>
        <w:adjustRightInd w:val="false"/>
        <w:spacing w:after="0" w:lineRule="auto" w:line="240"/>
        <w:ind w:left="720"/>
        <w:jc w:val="both"/>
        <w:rPr>
          <w:rFonts w:cs="Calibri" w:eastAsia="Arial"/>
          <w:lang w:eastAsia="en-GB"/>
        </w:rPr>
      </w:pPr>
    </w:p>
    <w:p>
      <w:pPr>
        <w:pStyle w:val="style0"/>
        <w:keepNext/>
        <w:suppressAutoHyphens/>
        <w:spacing w:before="77" w:after="113" w:lineRule="auto" w:line="240"/>
        <w:ind w:left="576" w:hanging="576"/>
        <w:jc w:val="both"/>
        <w:outlineLvl w:val="1"/>
        <w:rPr>
          <w:rFonts w:cs="Calibri" w:eastAsia="Times New Roman"/>
          <w:b/>
          <w:bCs/>
        </w:rPr>
      </w:pPr>
      <w:r>
        <w:rPr>
          <w:rFonts w:cs="Calibri" w:eastAsia="Times New Roman"/>
          <w:b/>
          <w:bCs/>
        </w:rPr>
        <w:t>5</w:t>
      </w:r>
      <w:r>
        <w:rPr>
          <w:rFonts w:cs="Calibri" w:eastAsia="Times New Roman"/>
          <w:b/>
          <w:bCs/>
        </w:rPr>
        <w:t>.0</w:t>
      </w:r>
      <w:r>
        <w:rPr>
          <w:rFonts w:cs="Calibri" w:eastAsia="Times New Roman"/>
          <w:b/>
          <w:bCs/>
        </w:rPr>
        <w:tab/>
      </w:r>
      <w:r>
        <w:rPr>
          <w:rFonts w:cs="Calibri" w:eastAsia="Times New Roman"/>
          <w:b/>
          <w:bCs/>
        </w:rPr>
        <w:t xml:space="preserve">Key Documents </w:t>
      </w:r>
      <w:r>
        <w:rPr>
          <w:rFonts w:cs="Calibri" w:eastAsia="Times New Roman"/>
          <w:b/>
          <w:bCs/>
        </w:rPr>
        <w:t>to be provided by STAR-Ghana Foundation</w:t>
      </w:r>
    </w:p>
    <w:p>
      <w:pPr>
        <w:pStyle w:val="style0"/>
        <w:numPr>
          <w:ilvl w:val="0"/>
          <w:numId w:val="12"/>
        </w:numPr>
        <w:adjustRightInd w:val="false"/>
        <w:spacing w:after="0" w:lineRule="auto" w:line="240"/>
        <w:jc w:val="both"/>
        <w:contextualSpacing/>
        <w:rPr>
          <w:rFonts w:cs="Calibri" w:eastAsia="Times New Roman"/>
          <w:lang w:eastAsia="en-GB"/>
        </w:rPr>
      </w:pPr>
      <w:r>
        <w:rPr>
          <w:rFonts w:cs="Calibri" w:eastAsia="Times New Roman"/>
          <w:lang w:eastAsia="en-GB"/>
        </w:rPr>
        <w:t>Due Diligence Guide</w:t>
      </w:r>
    </w:p>
    <w:p>
      <w:pPr>
        <w:pStyle w:val="style0"/>
        <w:numPr>
          <w:ilvl w:val="0"/>
          <w:numId w:val="12"/>
        </w:numPr>
        <w:adjustRightInd w:val="false"/>
        <w:spacing w:after="0" w:lineRule="auto" w:line="240"/>
        <w:jc w:val="both"/>
        <w:contextualSpacing/>
        <w:rPr>
          <w:rFonts w:cs="Calibri" w:eastAsia="Times New Roman"/>
          <w:lang w:eastAsia="en-GB"/>
        </w:rPr>
      </w:pPr>
      <w:r>
        <w:rPr>
          <w:rFonts w:cs="Calibri" w:eastAsia="Times New Roman"/>
          <w:lang w:eastAsia="en-GB"/>
        </w:rPr>
        <w:t>Due Diligence Report Template - Narrative</w:t>
      </w:r>
    </w:p>
    <w:p>
      <w:pPr>
        <w:pStyle w:val="style0"/>
        <w:numPr>
          <w:ilvl w:val="0"/>
          <w:numId w:val="12"/>
        </w:numPr>
        <w:adjustRightInd w:val="false"/>
        <w:spacing w:after="0" w:lineRule="auto" w:line="240"/>
        <w:jc w:val="both"/>
        <w:contextualSpacing/>
        <w:rPr>
          <w:rFonts w:cs="Calibri" w:eastAsia="Times New Roman"/>
          <w:lang w:eastAsia="en-GB"/>
        </w:rPr>
      </w:pPr>
      <w:r>
        <w:rPr>
          <w:rFonts w:cs="Calibri" w:eastAsia="Times New Roman"/>
          <w:lang w:eastAsia="en-GB"/>
        </w:rPr>
        <w:t>Due Diligence Summary Sheet - Excel</w:t>
      </w:r>
    </w:p>
    <w:p>
      <w:pPr>
        <w:pStyle w:val="style0"/>
        <w:adjustRightInd w:val="false"/>
        <w:spacing w:after="0" w:lineRule="auto" w:line="240"/>
        <w:jc w:val="both"/>
        <w:rPr>
          <w:rFonts w:cs="Calibri" w:eastAsia="Arial"/>
          <w:lang w:eastAsia="en-GB"/>
        </w:rPr>
      </w:pPr>
    </w:p>
    <w:p>
      <w:pPr>
        <w:pStyle w:val="style0"/>
        <w:suppressAutoHyphens/>
        <w:spacing w:after="0" w:lineRule="auto" w:line="240"/>
        <w:rPr>
          <w:rFonts w:cs="Calibri" w:eastAsia="Times New Roman"/>
        </w:rPr>
      </w:pPr>
    </w:p>
    <w:p>
      <w:pPr>
        <w:pStyle w:val="style0"/>
        <w:keepNext/>
        <w:suppressAutoHyphens/>
        <w:spacing w:after="100" w:lineRule="auto" w:line="240"/>
        <w:jc w:val="both"/>
        <w:outlineLvl w:val="1"/>
        <w:rPr>
          <w:rFonts w:cs="Calibri" w:eastAsia="Times New Roman"/>
          <w:b/>
          <w:bCs/>
        </w:rPr>
      </w:pPr>
      <w:r>
        <w:rPr>
          <w:rFonts w:cs="Calibri" w:eastAsia="Times New Roman"/>
          <w:b/>
          <w:bCs/>
        </w:rPr>
        <w:t>6.0</w:t>
      </w:r>
      <w:r>
        <w:rPr>
          <w:rFonts w:cs="Calibri" w:eastAsia="Times New Roman"/>
          <w:b/>
          <w:bCs/>
        </w:rPr>
        <w:t xml:space="preserve">      Person Specifications</w:t>
      </w:r>
    </w:p>
    <w:p>
      <w:pPr>
        <w:pStyle w:val="style0"/>
        <w:numPr>
          <w:ilvl w:val="0"/>
          <w:numId w:val="10"/>
        </w:numPr>
        <w:spacing w:after="200" w:lineRule="auto" w:line="240"/>
        <w:jc w:val="both"/>
        <w:contextualSpacing/>
        <w:rPr>
          <w:rFonts w:cs="Calibri"/>
        </w:rPr>
      </w:pPr>
      <w:r>
        <w:rPr>
          <w:rFonts w:cs="Calibri"/>
        </w:rPr>
        <w:t xml:space="preserve">Minimum of a Masters’ degree in </w:t>
      </w:r>
      <w:r>
        <w:rPr>
          <w:rFonts w:cs="Calibri"/>
        </w:rPr>
        <w:t>Organisational Development</w:t>
      </w:r>
      <w:r>
        <w:rPr>
          <w:rFonts w:cs="Calibri"/>
        </w:rPr>
        <w:t xml:space="preserve"> </w:t>
      </w:r>
    </w:p>
    <w:p>
      <w:pPr>
        <w:pStyle w:val="style0"/>
        <w:numPr>
          <w:ilvl w:val="0"/>
          <w:numId w:val="10"/>
        </w:numPr>
        <w:spacing w:after="200" w:lineRule="auto" w:line="240"/>
        <w:jc w:val="both"/>
        <w:contextualSpacing/>
        <w:rPr>
          <w:rFonts w:cs="Calibri"/>
        </w:rPr>
      </w:pPr>
      <w:r>
        <w:rPr>
          <w:rFonts w:cs="Calibri"/>
        </w:rPr>
        <w:t>Some qualification in Finance and/or Accounting would be an added advantage.</w:t>
      </w:r>
    </w:p>
    <w:p>
      <w:pPr>
        <w:pStyle w:val="style0"/>
        <w:numPr>
          <w:ilvl w:val="0"/>
          <w:numId w:val="10"/>
        </w:numPr>
        <w:spacing w:after="200" w:lineRule="auto" w:line="240"/>
        <w:jc w:val="both"/>
        <w:contextualSpacing/>
        <w:rPr>
          <w:rFonts w:cs="Calibri"/>
        </w:rPr>
      </w:pPr>
      <w:r>
        <w:rPr>
          <w:rFonts w:cs="Calibri"/>
        </w:rPr>
        <w:t>At least 5 years relevant post qualification work experience</w:t>
      </w:r>
      <w:r>
        <w:rPr>
          <w:rFonts w:cs="Calibri"/>
        </w:rPr>
        <w:t xml:space="preserve"> in Organisational Development</w:t>
      </w:r>
    </w:p>
    <w:p>
      <w:pPr>
        <w:pStyle w:val="style0"/>
        <w:numPr>
          <w:ilvl w:val="0"/>
          <w:numId w:val="10"/>
        </w:numPr>
        <w:spacing w:after="200" w:lineRule="auto" w:line="240"/>
        <w:jc w:val="both"/>
        <w:contextualSpacing/>
        <w:rPr>
          <w:rFonts w:cs="Calibri"/>
        </w:rPr>
      </w:pPr>
      <w:r>
        <w:rPr>
          <w:rFonts w:cs="Calibri"/>
        </w:rPr>
        <w:t>Familiarity with the civil society sector in Ghana.</w:t>
      </w:r>
    </w:p>
    <w:p>
      <w:pPr>
        <w:pStyle w:val="style0"/>
        <w:numPr>
          <w:ilvl w:val="0"/>
          <w:numId w:val="10"/>
        </w:numPr>
        <w:spacing w:after="200" w:lineRule="auto" w:line="240"/>
        <w:jc w:val="both"/>
        <w:contextualSpacing/>
        <w:rPr>
          <w:rFonts w:cs="Calibri"/>
        </w:rPr>
      </w:pPr>
      <w:r>
        <w:rPr>
          <w:rFonts w:cs="Calibri"/>
        </w:rPr>
        <w:t xml:space="preserve">Experience in conducting organisational needs assessment. </w:t>
      </w:r>
    </w:p>
    <w:p>
      <w:pPr>
        <w:pStyle w:val="style0"/>
        <w:numPr>
          <w:ilvl w:val="0"/>
          <w:numId w:val="10"/>
        </w:numPr>
        <w:spacing w:after="200" w:lineRule="auto" w:line="240"/>
        <w:jc w:val="both"/>
        <w:contextualSpacing/>
        <w:rPr>
          <w:rFonts w:cs="Calibri"/>
        </w:rPr>
      </w:pPr>
      <w:r>
        <w:rPr>
          <w:rFonts w:cs="Calibri"/>
        </w:rPr>
        <w:t>Excellent written and oral communication skills.</w:t>
      </w:r>
    </w:p>
    <w:p>
      <w:pPr>
        <w:pStyle w:val="style0"/>
        <w:numPr>
          <w:ilvl w:val="0"/>
          <w:numId w:val="10"/>
        </w:numPr>
        <w:spacing w:after="200" w:lineRule="auto" w:line="240"/>
        <w:jc w:val="both"/>
        <w:contextualSpacing/>
        <w:rPr>
          <w:rFonts w:cs="Calibri"/>
        </w:rPr>
      </w:pPr>
      <w:r>
        <w:rPr>
          <w:rFonts w:cs="Calibri"/>
        </w:rPr>
        <w:t>Willingness to sign Conflict-of-interest and Safeguarding forms.</w:t>
      </w:r>
    </w:p>
    <w:p>
      <w:pPr>
        <w:pStyle w:val="style0"/>
        <w:spacing w:after="200" w:lineRule="auto" w:line="240"/>
        <w:ind w:left="720"/>
        <w:jc w:val="both"/>
        <w:contextualSpacing/>
        <w:rPr>
          <w:rFonts w:cs="Calibri"/>
        </w:rPr>
      </w:pPr>
    </w:p>
    <w:p>
      <w:pPr>
        <w:pStyle w:val="style0"/>
        <w:spacing w:before="100" w:beforeAutospacing="true" w:after="100" w:afterAutospacing="true" w:lineRule="auto" w:line="240"/>
        <w:jc w:val="both"/>
        <w:outlineLvl w:val="1"/>
        <w:rPr>
          <w:rFonts w:cs="Calibri" w:eastAsia="Times New Roman"/>
          <w:b/>
          <w:bCs/>
          <w:lang w:eastAsia="en-GB"/>
        </w:rPr>
      </w:pPr>
      <w:r>
        <w:rPr>
          <w:rFonts w:cs="Calibri" w:eastAsia="Times New Roman"/>
          <w:b/>
          <w:bCs/>
          <w:lang w:eastAsia="en-GB"/>
        </w:rPr>
        <w:t>7.0</w:t>
      </w:r>
      <w:r>
        <w:rPr>
          <w:rFonts w:cs="Calibri" w:eastAsia="Times New Roman"/>
          <w:b/>
          <w:bCs/>
          <w:lang w:eastAsia="en-GB"/>
        </w:rPr>
        <w:tab/>
      </w:r>
      <w:r>
        <w:rPr>
          <w:rFonts w:cs="Calibri" w:eastAsia="Times New Roman"/>
          <w:b/>
          <w:bCs/>
          <w:lang w:eastAsia="en-GB"/>
        </w:rPr>
        <w:t>Management and support</w:t>
      </w:r>
    </w:p>
    <w:p>
      <w:pPr>
        <w:pStyle w:val="style0"/>
        <w:spacing w:before="100" w:beforeAutospacing="true" w:after="100" w:afterAutospacing="true" w:lineRule="auto" w:line="240"/>
        <w:jc w:val="both"/>
        <w:outlineLvl w:val="1"/>
        <w:rPr>
          <w:rFonts w:cs="Calibri" w:eastAsia="Times New Roman"/>
          <w:lang w:eastAsia="en-GB"/>
        </w:rPr>
      </w:pPr>
      <w:r>
        <w:rPr>
          <w:rFonts w:cs="Calibri" w:eastAsia="Times New Roman"/>
          <w:lang w:eastAsia="en-GB"/>
        </w:rPr>
        <w:t xml:space="preserve">The Consultant will </w:t>
      </w:r>
      <w:r>
        <w:rPr>
          <w:rFonts w:cs="Calibri" w:eastAsia="Times New Roman"/>
          <w:lang w:eastAsia="en-GB"/>
        </w:rPr>
        <w:t>report to</w:t>
      </w:r>
      <w:r>
        <w:rPr>
          <w:rFonts w:cs="Calibri" w:eastAsia="Times New Roman"/>
          <w:lang w:eastAsia="en-GB"/>
        </w:rPr>
        <w:t xml:space="preserve"> the Head of Grants and Compliance of SGF</w:t>
      </w:r>
      <w:r>
        <w:rPr>
          <w:rFonts w:cs="Calibri" w:eastAsia="Times New Roman"/>
          <w:lang w:eastAsia="en-GB"/>
        </w:rPr>
        <w:t xml:space="preserve"> on the main assignment and any issues arising thereof. Other staff who the consultant may deal with would include procurement and finance staff for contract and payment purposes.</w:t>
      </w:r>
    </w:p>
    <w:p>
      <w:pPr>
        <w:pStyle w:val="style0"/>
        <w:spacing w:before="100" w:beforeAutospacing="true" w:after="100" w:afterAutospacing="true" w:lineRule="auto" w:line="240"/>
        <w:jc w:val="both"/>
        <w:outlineLvl w:val="1"/>
        <w:rPr>
          <w:rFonts w:cs="Calibri" w:eastAsia="Times New Roman"/>
          <w:lang w:eastAsia="en-GB"/>
        </w:rPr>
      </w:pPr>
      <w:r>
        <w:rPr>
          <w:rFonts w:cs="Calibri" w:eastAsia="Times New Roman"/>
          <w:lang w:eastAsia="en-GB"/>
        </w:rPr>
        <w:t>The Consultant will be provided with all necessary information to facilitate the completion of the assignment. These include all templates and tools required for the execution of the tasks.</w:t>
      </w:r>
    </w:p>
    <w:p>
      <w:pPr>
        <w:pStyle w:val="style0"/>
        <w:spacing w:after="240" w:lineRule="auto" w:line="240"/>
        <w:jc w:val="both"/>
        <w:rPr>
          <w:rFonts w:cs="Calibri" w:eastAsia="Times New Roman"/>
          <w:b/>
          <w:bCs/>
          <w:spacing w:val="8"/>
          <w:lang w:eastAsia="en-GB"/>
        </w:rPr>
      </w:pPr>
      <w:r>
        <w:rPr>
          <w:rFonts w:cs="Calibri" w:eastAsia="Times New Roman"/>
          <w:b/>
          <w:bCs/>
          <w:spacing w:val="8"/>
          <w:lang w:eastAsia="en-GB"/>
        </w:rPr>
        <w:t>8.0</w:t>
      </w:r>
      <w:r>
        <w:rPr>
          <w:rFonts w:cs="Calibri" w:eastAsia="Times New Roman"/>
          <w:b/>
          <w:bCs/>
          <w:spacing w:val="8"/>
          <w:lang w:eastAsia="en-GB"/>
        </w:rPr>
        <w:tab/>
      </w:r>
      <w:r>
        <w:rPr>
          <w:rFonts w:cs="Calibri" w:eastAsia="Times New Roman"/>
          <w:b/>
          <w:bCs/>
          <w:spacing w:val="8"/>
          <w:lang w:eastAsia="en-GB"/>
        </w:rPr>
        <w:t>Duration</w:t>
      </w:r>
    </w:p>
    <w:p>
      <w:pPr>
        <w:pStyle w:val="style0"/>
        <w:spacing w:after="240" w:lineRule="auto" w:line="240"/>
        <w:jc w:val="both"/>
        <w:rPr>
          <w:rFonts w:cs="Calibri" w:eastAsia="Times New Roman"/>
          <w:b/>
          <w:bCs/>
          <w:spacing w:val="8"/>
          <w:u w:val="single"/>
          <w:lang w:eastAsia="en-GB"/>
        </w:rPr>
      </w:pPr>
      <w:r>
        <w:rPr>
          <w:rFonts w:cs="Calibri" w:eastAsia="Times New Roman"/>
          <w:spacing w:val="8"/>
          <w:lang w:eastAsia="en-GB"/>
        </w:rPr>
        <w:t xml:space="preserve">The Assignment is expected to be conducted </w:t>
      </w:r>
      <w:r>
        <w:rPr>
          <w:rFonts w:cs="Calibri" w:eastAsia="Times New Roman"/>
          <w:b/>
          <w:bCs/>
          <w:spacing w:val="8"/>
          <w:u w:val="single"/>
          <w:lang w:eastAsia="en-GB"/>
        </w:rPr>
        <w:t xml:space="preserve">between </w:t>
      </w:r>
      <w:r>
        <w:rPr>
          <w:rFonts w:cs="Calibri" w:eastAsia="Times New Roman"/>
          <w:b/>
          <w:bCs/>
          <w:spacing w:val="8"/>
          <w:u w:val="single"/>
          <w:lang w:eastAsia="en-GB"/>
        </w:rPr>
        <w:t>Tue</w:t>
      </w:r>
      <w:r>
        <w:rPr>
          <w:rFonts w:cs="Calibri" w:eastAsia="Times New Roman"/>
          <w:b/>
          <w:bCs/>
          <w:spacing w:val="8"/>
          <w:u w:val="single"/>
          <w:lang w:eastAsia="en-GB"/>
        </w:rPr>
        <w:t>sday</w:t>
      </w:r>
      <w:r>
        <w:rPr>
          <w:rFonts w:cs="Calibri" w:eastAsia="Times New Roman"/>
          <w:b/>
          <w:bCs/>
          <w:spacing w:val="8"/>
          <w:u w:val="single"/>
          <w:lang w:eastAsia="en-GB"/>
        </w:rPr>
        <w:t xml:space="preserve"> November </w:t>
      </w:r>
      <w:r>
        <w:rPr>
          <w:rFonts w:cs="Calibri" w:eastAsia="Times New Roman"/>
          <w:b/>
          <w:bCs/>
          <w:spacing w:val="8"/>
          <w:u w:val="single"/>
          <w:lang w:eastAsia="en-GB"/>
        </w:rPr>
        <w:t>2</w:t>
      </w:r>
      <w:r>
        <w:rPr>
          <w:rFonts w:cs="Calibri" w:eastAsia="Times New Roman"/>
          <w:b/>
          <w:bCs/>
          <w:spacing w:val="8"/>
          <w:u w:val="single"/>
          <w:lang w:eastAsia="en-GB"/>
        </w:rPr>
        <w:t>8</w:t>
      </w:r>
      <w:r>
        <w:rPr>
          <w:rFonts w:cs="Calibri" w:eastAsia="Times New Roman"/>
          <w:b/>
          <w:bCs/>
          <w:spacing w:val="8"/>
          <w:u w:val="single"/>
          <w:vertAlign w:val="superscript"/>
          <w:lang w:eastAsia="en-GB"/>
        </w:rPr>
        <w:t>th</w:t>
      </w:r>
      <w:r>
        <w:rPr>
          <w:rFonts w:cs="Calibri" w:eastAsia="Times New Roman"/>
          <w:b/>
          <w:bCs/>
          <w:spacing w:val="8"/>
          <w:u w:val="single"/>
          <w:lang w:eastAsia="en-GB"/>
        </w:rPr>
        <w:t xml:space="preserve"> </w:t>
      </w:r>
      <w:r>
        <w:rPr>
          <w:rFonts w:cs="Calibri" w:eastAsia="Times New Roman"/>
          <w:b/>
          <w:bCs/>
          <w:spacing w:val="8"/>
          <w:u w:val="single"/>
          <w:lang w:eastAsia="en-GB"/>
        </w:rPr>
        <w:t xml:space="preserve">and </w:t>
      </w:r>
      <w:r>
        <w:rPr>
          <w:rFonts w:cs="Calibri" w:eastAsia="Times New Roman"/>
          <w:b/>
          <w:bCs/>
          <w:spacing w:val="8"/>
          <w:u w:val="single"/>
          <w:lang w:eastAsia="en-GB"/>
        </w:rPr>
        <w:t>Thursd</w:t>
      </w:r>
      <w:r>
        <w:rPr>
          <w:rFonts w:cs="Calibri" w:eastAsia="Times New Roman"/>
          <w:b/>
          <w:bCs/>
          <w:spacing w:val="8"/>
          <w:u w:val="single"/>
          <w:lang w:eastAsia="en-GB"/>
        </w:rPr>
        <w:t xml:space="preserve">ay </w:t>
      </w:r>
      <w:r>
        <w:rPr>
          <w:rFonts w:cs="Calibri" w:eastAsia="Times New Roman"/>
          <w:b/>
          <w:bCs/>
          <w:spacing w:val="8"/>
          <w:u w:val="single"/>
          <w:lang w:eastAsia="en-GB"/>
        </w:rPr>
        <w:t>Dec</w:t>
      </w:r>
      <w:r>
        <w:rPr>
          <w:rFonts w:cs="Calibri" w:eastAsia="Times New Roman"/>
          <w:b/>
          <w:bCs/>
          <w:spacing w:val="8"/>
          <w:u w:val="single"/>
          <w:lang w:eastAsia="en-GB"/>
        </w:rPr>
        <w:t xml:space="preserve">ember </w:t>
      </w:r>
      <w:r>
        <w:rPr>
          <w:rFonts w:cs="Calibri" w:eastAsia="Times New Roman"/>
          <w:b/>
          <w:bCs/>
          <w:spacing w:val="8"/>
          <w:u w:val="single"/>
          <w:lang w:eastAsia="en-GB"/>
        </w:rPr>
        <w:t>7</w:t>
      </w:r>
      <w:r>
        <w:rPr>
          <w:rFonts w:cs="Calibri" w:eastAsia="Times New Roman"/>
          <w:b/>
          <w:bCs/>
          <w:spacing w:val="8"/>
          <w:u w:val="single"/>
          <w:vertAlign w:val="superscript"/>
          <w:lang w:eastAsia="en-GB"/>
        </w:rPr>
        <w:t>th</w:t>
      </w:r>
      <w:r>
        <w:rPr>
          <w:rFonts w:cs="Calibri" w:eastAsia="Times New Roman"/>
          <w:b/>
          <w:bCs/>
          <w:spacing w:val="8"/>
          <w:u w:val="single"/>
          <w:lang w:eastAsia="en-GB"/>
        </w:rPr>
        <w:t>, 2023.</w:t>
      </w:r>
    </w:p>
    <w:p>
      <w:pPr>
        <w:pStyle w:val="style0"/>
        <w:spacing w:before="100" w:beforeAutospacing="true" w:after="100" w:afterAutospacing="true" w:lineRule="auto" w:line="240"/>
        <w:jc w:val="both"/>
        <w:outlineLvl w:val="1"/>
        <w:rPr>
          <w:rFonts w:cs="Calibri" w:eastAsia="Times New Roman"/>
          <w:b/>
          <w:bCs/>
          <w:lang w:eastAsia="en-GB"/>
        </w:rPr>
      </w:pPr>
      <w:r>
        <w:rPr>
          <w:rFonts w:cs="Calibri" w:eastAsia="Times New Roman"/>
          <w:b/>
          <w:bCs/>
          <w:lang w:eastAsia="en-GB"/>
        </w:rPr>
        <w:t>9.0</w:t>
      </w:r>
      <w:r>
        <w:rPr>
          <w:rFonts w:cs="Calibri" w:eastAsia="Times New Roman"/>
          <w:b/>
          <w:bCs/>
          <w:lang w:eastAsia="en-GB"/>
        </w:rPr>
        <w:tab/>
      </w:r>
      <w:r>
        <w:rPr>
          <w:rFonts w:cs="Calibri" w:eastAsia="Times New Roman"/>
          <w:b/>
          <w:bCs/>
          <w:lang w:eastAsia="en-GB"/>
        </w:rPr>
        <w:t>Eligibility</w:t>
      </w:r>
    </w:p>
    <w:p>
      <w:pPr>
        <w:pStyle w:val="style0"/>
        <w:spacing w:after="240" w:lineRule="auto" w:line="240"/>
        <w:jc w:val="both"/>
        <w:rPr>
          <w:rFonts w:cs="Calibri" w:eastAsia="Times New Roman"/>
          <w:spacing w:val="8"/>
          <w:lang w:eastAsia="en-GB"/>
        </w:rPr>
      </w:pPr>
      <w:r>
        <w:rPr>
          <w:rFonts w:cs="Calibri" w:eastAsia="Times New Roman"/>
          <w:spacing w:val="8"/>
          <w:lang w:eastAsia="en-GB"/>
        </w:rPr>
        <w:t>Interested consultant(s) should share a proposal that includes the following:</w:t>
      </w:r>
    </w:p>
    <w:p>
      <w:pPr>
        <w:pStyle w:val="style0"/>
        <w:numPr>
          <w:ilvl w:val="0"/>
          <w:numId w:val="5"/>
        </w:numPr>
        <w:spacing w:before="100" w:beforeAutospacing="true" w:after="100" w:afterAutospacing="true" w:lineRule="auto" w:line="240"/>
        <w:jc w:val="both"/>
        <w:rPr>
          <w:rFonts w:cs="Calibri" w:eastAsia="Times New Roman"/>
          <w:lang w:eastAsia="en-GB"/>
        </w:rPr>
      </w:pPr>
      <w:r>
        <w:rPr>
          <w:rFonts w:cs="Calibri" w:eastAsia="Times New Roman"/>
          <w:lang w:eastAsia="en-GB"/>
        </w:rPr>
        <w:t xml:space="preserve">A short 1/2-page </w:t>
      </w:r>
      <w:r>
        <w:rPr>
          <w:rFonts w:cs="Calibri" w:eastAsia="Times New Roman"/>
          <w:lang w:eastAsia="en-GB"/>
        </w:rPr>
        <w:t xml:space="preserve">technical </w:t>
      </w:r>
      <w:r>
        <w:rPr>
          <w:rFonts w:cs="Calibri" w:eastAsia="Times New Roman"/>
          <w:lang w:eastAsia="en-GB"/>
        </w:rPr>
        <w:t>proposal that reflects your own understanding of the assignment</w:t>
      </w:r>
      <w:r>
        <w:rPr>
          <w:rFonts w:cs="Calibri" w:eastAsia="Times New Roman"/>
          <w:lang w:eastAsia="en-GB"/>
        </w:rPr>
        <w:t xml:space="preserve"> and proposed approach</w:t>
      </w:r>
    </w:p>
    <w:p>
      <w:pPr>
        <w:pStyle w:val="style0"/>
        <w:numPr>
          <w:ilvl w:val="0"/>
          <w:numId w:val="5"/>
        </w:numPr>
        <w:spacing w:before="100" w:beforeAutospacing="true" w:after="100" w:afterAutospacing="true" w:lineRule="auto" w:line="240"/>
        <w:jc w:val="both"/>
        <w:rPr>
          <w:rFonts w:cs="Calibri" w:eastAsia="Times New Roman"/>
          <w:lang w:eastAsia="en-GB"/>
        </w:rPr>
      </w:pPr>
      <w:r>
        <w:rPr>
          <w:rFonts w:cs="Calibri" w:eastAsia="Times New Roman"/>
          <w:lang w:eastAsia="en-GB"/>
        </w:rPr>
        <w:t>Indicative timelines for delivery of the main activities</w:t>
      </w:r>
    </w:p>
    <w:p>
      <w:pPr>
        <w:pStyle w:val="style0"/>
        <w:numPr>
          <w:ilvl w:val="0"/>
          <w:numId w:val="5"/>
        </w:numPr>
        <w:spacing w:before="100" w:beforeAutospacing="true" w:after="100" w:afterAutospacing="true" w:lineRule="auto" w:line="240"/>
        <w:jc w:val="both"/>
        <w:rPr>
          <w:rFonts w:cs="Calibri" w:eastAsia="Times New Roman"/>
          <w:lang w:eastAsia="en-GB"/>
        </w:rPr>
      </w:pPr>
      <w:r>
        <w:rPr>
          <w:rFonts w:cs="Calibri" w:eastAsia="Times New Roman"/>
          <w:lang w:eastAsia="en-GB"/>
        </w:rPr>
        <w:t>Profile</w:t>
      </w:r>
      <w:r>
        <w:rPr>
          <w:rFonts w:cs="Calibri" w:eastAsia="Times New Roman"/>
          <w:lang w:eastAsia="en-GB"/>
        </w:rPr>
        <w:t>/</w:t>
      </w:r>
      <w:r>
        <w:rPr>
          <w:rFonts w:cs="Calibri" w:eastAsia="Times New Roman"/>
          <w:lang w:eastAsia="en-GB"/>
        </w:rPr>
        <w:t>CV of the consultant</w:t>
      </w:r>
    </w:p>
    <w:p>
      <w:pPr>
        <w:pStyle w:val="style0"/>
        <w:numPr>
          <w:ilvl w:val="0"/>
          <w:numId w:val="5"/>
        </w:numPr>
        <w:spacing w:before="100" w:beforeAutospacing="true" w:after="100" w:afterAutospacing="true" w:lineRule="auto" w:line="240"/>
        <w:jc w:val="both"/>
        <w:rPr>
          <w:rFonts w:cs="Calibri" w:eastAsia="Times New Roman"/>
          <w:lang w:eastAsia="en-GB"/>
        </w:rPr>
      </w:pPr>
      <w:r>
        <w:rPr>
          <w:rFonts w:cs="Calibri" w:eastAsia="Times New Roman"/>
          <w:lang w:eastAsia="en-GB"/>
        </w:rPr>
        <w:t xml:space="preserve">Overview of relevant assignments in the last </w:t>
      </w:r>
      <w:r>
        <w:rPr>
          <w:rFonts w:cs="Calibri" w:eastAsia="Times New Roman"/>
          <w:lang w:eastAsia="en-GB"/>
        </w:rPr>
        <w:t>2</w:t>
      </w:r>
      <w:r>
        <w:rPr>
          <w:rFonts w:cs="Calibri" w:eastAsia="Times New Roman"/>
          <w:lang w:eastAsia="en-GB"/>
        </w:rPr>
        <w:t xml:space="preserve"> years</w:t>
      </w:r>
    </w:p>
    <w:p>
      <w:pPr>
        <w:pStyle w:val="style0"/>
        <w:numPr>
          <w:ilvl w:val="0"/>
          <w:numId w:val="5"/>
        </w:numPr>
        <w:spacing w:before="100" w:beforeAutospacing="true" w:after="100" w:afterAutospacing="true" w:lineRule="auto" w:line="240"/>
        <w:jc w:val="both"/>
        <w:rPr>
          <w:rFonts w:cs="Calibri" w:eastAsia="Times New Roman"/>
          <w:lang w:eastAsia="en-GB"/>
        </w:rPr>
      </w:pPr>
      <w:r>
        <w:rPr>
          <w:rFonts w:cs="Calibri" w:eastAsia="Times New Roman"/>
          <w:lang w:eastAsia="en-GB"/>
        </w:rPr>
        <w:t>At least 3 references</w:t>
      </w:r>
      <w:r>
        <w:rPr>
          <w:rFonts w:cs="Calibri" w:eastAsia="Times New Roman"/>
          <w:lang w:eastAsia="en-GB"/>
        </w:rPr>
        <w:t>/</w:t>
      </w:r>
      <w:r>
        <w:rPr>
          <w:rFonts w:cs="Calibri" w:eastAsia="Times New Roman"/>
          <w:lang w:eastAsia="en-GB"/>
        </w:rPr>
        <w:t>client organizations and key contact persons (include name; email address and mobile number)</w:t>
      </w:r>
    </w:p>
    <w:p>
      <w:pPr>
        <w:pStyle w:val="style0"/>
        <w:spacing w:before="100" w:beforeAutospacing="true" w:after="100" w:afterAutospacing="true" w:lineRule="auto" w:line="240"/>
        <w:jc w:val="both"/>
        <w:outlineLvl w:val="1"/>
        <w:rPr>
          <w:rFonts w:cs="Calibri" w:eastAsia="Times New Roman"/>
          <w:b/>
          <w:bCs/>
          <w:lang w:eastAsia="en-GB"/>
        </w:rPr>
      </w:pPr>
    </w:p>
    <w:p>
      <w:pPr>
        <w:pStyle w:val="style0"/>
        <w:spacing w:before="100" w:beforeAutospacing="true" w:after="100" w:afterAutospacing="true" w:lineRule="auto" w:line="240"/>
        <w:jc w:val="both"/>
        <w:outlineLvl w:val="1"/>
        <w:rPr>
          <w:rFonts w:cs="Calibri" w:eastAsia="Times New Roman"/>
          <w:b/>
          <w:bCs/>
          <w:lang w:eastAsia="en-GB"/>
        </w:rPr>
      </w:pPr>
      <w:r>
        <w:rPr>
          <w:rFonts w:cs="Calibri" w:eastAsia="Times New Roman"/>
          <w:b/>
          <w:bCs/>
          <w:lang w:eastAsia="en-GB"/>
        </w:rPr>
        <w:t>How to apply</w:t>
      </w:r>
    </w:p>
    <w:p>
      <w:pPr>
        <w:pStyle w:val="style0"/>
        <w:spacing w:before="100" w:beforeAutospacing="true" w:after="100" w:afterAutospacing="true" w:lineRule="auto" w:line="240"/>
        <w:jc w:val="both"/>
        <w:outlineLvl w:val="1"/>
        <w:rPr>
          <w:rFonts w:cs="Calibri" w:eastAsia="Times New Roman"/>
          <w:b/>
          <w:bCs/>
          <w:spacing w:val="8"/>
          <w:u w:val="single"/>
          <w:lang w:eastAsia="en-GB"/>
        </w:rPr>
      </w:pPr>
      <w:r>
        <w:rPr>
          <w:rFonts w:cs="Calibri" w:eastAsia="Times New Roman"/>
          <w:spacing w:val="8"/>
          <w:lang w:eastAsia="en-GB"/>
        </w:rPr>
        <w:t>The Expression of Interest (</w:t>
      </w:r>
      <w:r>
        <w:rPr>
          <w:rFonts w:cs="Calibri" w:eastAsia="Times New Roman"/>
          <w:spacing w:val="8"/>
          <w:lang w:eastAsia="en-GB"/>
        </w:rPr>
        <w:t>EoI</w:t>
      </w:r>
      <w:r>
        <w:rPr>
          <w:rFonts w:cs="Calibri" w:eastAsia="Times New Roman"/>
          <w:spacing w:val="8"/>
          <w:lang w:eastAsia="en-GB"/>
        </w:rPr>
        <w:t>) should be submitted via e-mail with the subject line: </w:t>
      </w:r>
      <w:r>
        <w:rPr>
          <w:rFonts w:cs="Calibri" w:eastAsia="Times New Roman"/>
          <w:b/>
          <w:bCs/>
          <w:spacing w:val="8"/>
          <w:u w:val="single"/>
          <w:lang w:eastAsia="en-GB"/>
        </w:rPr>
        <w:t>Expression of Interest – Assessment of CSSF Applications</w:t>
      </w:r>
      <w:r>
        <w:rPr>
          <w:rFonts w:cs="Calibri" w:eastAsia="Times New Roman"/>
          <w:spacing w:val="8"/>
          <w:lang w:eastAsia="en-GB"/>
        </w:rPr>
        <w:t> to: </w:t>
      </w:r>
      <w:r>
        <w:rPr/>
        <w:fldChar w:fldCharType="begin"/>
      </w:r>
      <w:r>
        <w:instrText xml:space="preserve"> HYPERLINK "mailto:applications@star-ghana.org" </w:instrText>
      </w:r>
      <w:r>
        <w:rPr/>
        <w:fldChar w:fldCharType="separate"/>
      </w:r>
      <w:r>
        <w:rPr>
          <w:rStyle w:val="style85"/>
          <w:rFonts w:cs="Calibri" w:eastAsia="Times New Roman"/>
          <w:spacing w:val="8"/>
          <w:lang w:eastAsia="en-GB"/>
        </w:rPr>
        <w:t>applications@star-ghana.org</w:t>
      </w:r>
      <w:r>
        <w:rPr/>
        <w:fldChar w:fldCharType="end"/>
      </w:r>
      <w:r>
        <w:rPr>
          <w:rFonts w:cs="Calibri" w:eastAsia="Times New Roman"/>
          <w:spacing w:val="8"/>
          <w:lang w:eastAsia="en-GB"/>
        </w:rPr>
        <w:t xml:space="preserve"> </w:t>
      </w:r>
      <w:r>
        <w:rPr>
          <w:rFonts w:cs="Calibri" w:eastAsia="Times New Roman"/>
          <w:b/>
          <w:bCs/>
          <w:spacing w:val="8"/>
          <w:u w:val="single"/>
          <w:lang w:eastAsia="en-GB"/>
        </w:rPr>
        <w:t>by</w:t>
      </w:r>
      <w:r>
        <w:rPr>
          <w:rFonts w:cs="Calibri" w:eastAsia="Times New Roman"/>
          <w:b/>
          <w:bCs/>
          <w:spacing w:val="8"/>
          <w:u w:val="single"/>
          <w:lang w:eastAsia="en-GB"/>
        </w:rPr>
        <w:t xml:space="preserve"> </w:t>
      </w:r>
      <w:r>
        <w:rPr>
          <w:rFonts w:cs="Calibri" w:eastAsia="Times New Roman"/>
          <w:b/>
          <w:bCs/>
          <w:spacing w:val="8"/>
          <w:u w:val="single"/>
          <w:lang w:eastAsia="en-GB"/>
        </w:rPr>
        <w:t xml:space="preserve">November </w:t>
      </w:r>
      <w:r>
        <w:rPr>
          <w:rFonts w:cs="Calibri" w:eastAsia="Times New Roman"/>
          <w:b/>
          <w:bCs/>
          <w:spacing w:val="8"/>
          <w:u w:val="single"/>
          <w:lang w:eastAsia="en-GB"/>
        </w:rPr>
        <w:t>2</w:t>
      </w:r>
      <w:r>
        <w:rPr>
          <w:rFonts w:cs="Calibri" w:eastAsia="Times New Roman"/>
          <w:b/>
          <w:bCs/>
          <w:spacing w:val="8"/>
          <w:u w:val="single"/>
          <w:lang w:eastAsia="en-GB"/>
        </w:rPr>
        <w:t>6</w:t>
      </w:r>
      <w:r>
        <w:rPr>
          <w:rFonts w:cs="Calibri" w:eastAsia="Times New Roman"/>
          <w:b/>
          <w:bCs/>
          <w:spacing w:val="8"/>
          <w:u w:val="single"/>
          <w:lang w:eastAsia="en-GB"/>
        </w:rPr>
        <w:t>th</w:t>
      </w:r>
      <w:r>
        <w:rPr>
          <w:rFonts w:cs="Calibri" w:eastAsia="Times New Roman"/>
          <w:b/>
          <w:bCs/>
          <w:spacing w:val="8"/>
          <w:u w:val="single"/>
          <w:lang w:eastAsia="en-GB"/>
        </w:rPr>
        <w:t>, 2023</w:t>
      </w:r>
      <w:r>
        <w:rPr>
          <w:rFonts w:cs="Calibri" w:eastAsia="Times New Roman"/>
          <w:b/>
          <w:bCs/>
          <w:spacing w:val="8"/>
          <w:u w:val="single"/>
          <w:lang w:eastAsia="en-GB"/>
        </w:rPr>
        <w:t xml:space="preserve">. </w:t>
      </w:r>
    </w:p>
    <w:p>
      <w:pPr>
        <w:pStyle w:val="style0"/>
        <w:spacing w:before="100" w:beforeAutospacing="true" w:after="100" w:afterAutospacing="true" w:lineRule="auto" w:line="240"/>
        <w:jc w:val="both"/>
        <w:outlineLvl w:val="1"/>
        <w:rPr>
          <w:rFonts w:cs="Calibri" w:eastAsia="Times New Roman"/>
          <w:b/>
          <w:bCs/>
          <w:spacing w:val="8"/>
          <w:u w:val="single"/>
          <w:lang w:eastAsia="en-GB"/>
        </w:rPr>
      </w:pPr>
      <w:r>
        <w:rPr>
          <w:lang w:val="en-US"/>
        </w:rPr>
        <w:t>SGF expects prospective applicants to be registered on our vendor list which can be found on the SGF website. SGF will not engage any consultant who is not registered on its vendor list.</w:t>
      </w:r>
    </w:p>
    <w:p>
      <w:pPr>
        <w:pStyle w:val="style0"/>
        <w:spacing w:after="240" w:lineRule="auto" w:line="240"/>
        <w:jc w:val="both"/>
        <w:rPr>
          <w:rFonts w:cs="Calibri" w:eastAsia="Times New Roman"/>
          <w:spacing w:val="8"/>
          <w:lang w:eastAsia="en-GB"/>
        </w:rPr>
      </w:pPr>
      <w:r>
        <w:rPr>
          <w:rFonts w:cs="Calibri" w:eastAsia="Times New Roman"/>
          <w:spacing w:val="8"/>
          <w:lang w:eastAsia="en-GB"/>
        </w:rPr>
        <w:t>Questions or requests for clarifications should be directed to: </w:t>
      </w:r>
      <w:r>
        <w:rPr/>
        <w:fldChar w:fldCharType="begin"/>
      </w:r>
      <w:r>
        <w:instrText xml:space="preserve"> HYPERLINK "mailto:info@star-ghana.org" </w:instrText>
      </w:r>
      <w:r>
        <w:rPr/>
        <w:fldChar w:fldCharType="separate"/>
      </w:r>
      <w:r>
        <w:rPr>
          <w:rStyle w:val="style85"/>
          <w:rFonts w:cs="Calibri" w:eastAsia="Times New Roman"/>
          <w:spacing w:val="8"/>
          <w:lang w:eastAsia="en-GB"/>
        </w:rPr>
        <w:t>info@star-ghana.org</w:t>
      </w:r>
      <w:r>
        <w:rPr/>
        <w:fldChar w:fldCharType="end"/>
      </w:r>
      <w:r>
        <w:rPr>
          <w:rFonts w:cs="Calibri" w:eastAsia="Times New Roman"/>
          <w:spacing w:val="8"/>
          <w:lang w:eastAsia="en-GB"/>
        </w:rPr>
        <w:t xml:space="preserve"> </w:t>
      </w:r>
    </w:p>
    <w:p>
      <w:pPr>
        <w:pStyle w:val="style0"/>
        <w:spacing w:after="0" w:lineRule="auto" w:line="240"/>
        <w:jc w:val="both"/>
        <w:outlineLvl w:val="1"/>
        <w:rPr>
          <w:rFonts w:cs="Calibri" w:eastAsia="Times New Roman"/>
          <w:b/>
          <w:bCs/>
          <w:lang w:eastAsia="en-GB"/>
        </w:rPr>
      </w:pPr>
      <w:r>
        <w:rPr>
          <w:rFonts w:cs="Calibri" w:eastAsia="Times New Roman"/>
          <w:b/>
          <w:bCs/>
          <w:lang w:eastAsia="en-GB"/>
        </w:rPr>
        <w:t>About STAR-Ghana Foundation</w:t>
      </w:r>
    </w:p>
    <w:p>
      <w:pPr>
        <w:pStyle w:val="style0"/>
        <w:spacing w:after="0" w:lineRule="auto" w:line="240"/>
        <w:jc w:val="both"/>
        <w:outlineLvl w:val="1"/>
        <w:rPr>
          <w:rFonts w:cs="Calibri" w:eastAsia="Times New Roman"/>
          <w:b/>
          <w:bCs/>
          <w:lang w:eastAsia="en-GB"/>
        </w:rPr>
      </w:pPr>
    </w:p>
    <w:p>
      <w:pPr>
        <w:pStyle w:val="style0"/>
        <w:spacing w:after="202" w:lineRule="auto" w:line="276"/>
        <w:jc w:val="both"/>
        <w:rPr>
          <w:rFonts w:cs="Calibri"/>
          <w:sz w:val="24"/>
          <w:szCs w:val="24"/>
        </w:rPr>
      </w:pPr>
      <w:r>
        <w:rPr>
          <w:rFonts w:cs="Calibri"/>
          <w:sz w:val="24"/>
          <w:szCs w:val="24"/>
        </w:rPr>
        <w:t xml:space="preserve">STAR Ghana Foundation is a national </w:t>
      </w:r>
      <w:r>
        <w:rPr>
          <w:rFonts w:cs="Calibri"/>
          <w:sz w:val="24"/>
          <w:szCs w:val="24"/>
        </w:rPr>
        <w:t>center</w:t>
      </w:r>
      <w:r>
        <w:rPr>
          <w:rFonts w:cs="Calibri"/>
          <w:sz w:val="24"/>
          <w:szCs w:val="24"/>
        </w:rPr>
        <w:t xml:space="preserve"> for the promotion of active citizenship and philanthropy. The organization works towards the development of a vibrant, well-informed, and assertive civil society in order to contribute to sustainable national development and inclusive access to high quality public services for all citizens. The Foundation’s strategic approach focuses on supporting the creation and utilization of spaces for collective and coordinated citizens’ engagement with local and national duty bearers as a means of promoting inclusion, transparency, accountability and responsiveness in governance and decision making at both local and national levels. </w:t>
      </w:r>
      <w:r>
        <w:rPr>
          <w:rFonts w:cs="Calibri"/>
          <w:sz w:val="24"/>
          <w:szCs w:val="24"/>
        </w:rPr>
        <w:t xml:space="preserve">See more at </w:t>
      </w:r>
      <w:r>
        <w:rPr/>
        <w:fldChar w:fldCharType="begin"/>
      </w:r>
      <w:r>
        <w:instrText xml:space="preserve"> HYPERLINK "http://www.star-ghana.org" </w:instrText>
      </w:r>
      <w:r>
        <w:rPr/>
        <w:fldChar w:fldCharType="separate"/>
      </w:r>
      <w:r>
        <w:rPr>
          <w:rStyle w:val="style85"/>
          <w:rFonts w:cs="Calibri"/>
          <w:sz w:val="24"/>
          <w:szCs w:val="24"/>
        </w:rPr>
        <w:t>www.star-ghana.org</w:t>
      </w:r>
      <w:r>
        <w:rPr/>
        <w:fldChar w:fldCharType="end"/>
      </w:r>
      <w:r>
        <w:rPr>
          <w:rFonts w:cs="Calibri"/>
          <w:sz w:val="24"/>
          <w:szCs w:val="24"/>
        </w:rPr>
        <w:t xml:space="preserve">. </w:t>
      </w:r>
    </w:p>
    <w:p>
      <w:pPr>
        <w:pStyle w:val="style0"/>
        <w:jc w:val="both"/>
        <w:rPr>
          <w:rFonts w:cs="Calibri"/>
        </w:rPr>
      </w:pPr>
    </w:p>
    <w:p>
      <w:pPr>
        <w:pStyle w:val="style0"/>
        <w:jc w:val="both"/>
        <w:rPr>
          <w:rFonts w:cs="Calibri"/>
        </w:rPr>
      </w:pPr>
    </w:p>
    <w:sectPr>
      <w:pgSz w:w="11906" w:h="16838" w:orient="portrait"/>
      <w:pgMar w:top="1440"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decorative"/>
    <w:pitch w:val="variable"/>
    <w:sig w:usb0="00000000" w:usb1="10000000" w:usb2="00000000" w:usb3="00000000" w:csb0="80000000" w:csb1="00000000"/>
  </w:font>
  <w:font w:name="Symbol">
    <w:altName w:val="Symbol"/>
    <w:panose1 w:val="05050102010007020507"/>
    <w:charset w:val="02"/>
    <w:family w:val="decorative"/>
    <w:pitch w:val="variable"/>
    <w:sig w:usb0="00000000" w:usb1="10000000" w:usb2="00000000" w:usb3="00000000" w:csb0="80000000" w:csb1="00000000"/>
  </w:font>
  <w:font w:name="Arial">
    <w:altName w:val="Arial"/>
    <w:panose1 w:val="020b0604020002020204"/>
    <w:charset w:val="00"/>
    <w:family w:val="swiss"/>
    <w:pitch w:val="variable"/>
    <w:sig w:usb0="E0002EFF" w:usb1="C0007843" w:usb2="00000009" w:usb3="00000000" w:csb0="000001FF" w:csb1="00000000"/>
  </w:font>
  <w:font w:name="Amasis MT Pro Medium">
    <w:altName w:val="Amasis MT Pro Medium"/>
    <w:panose1 w:val="02040604050000020304"/>
    <w:charset w:val="00"/>
    <w:family w:val="roman"/>
    <w:pitch w:val="variable"/>
    <w:sig w:usb0="A00000AF" w:usb1="4000205B" w:usb2="00000000" w:usb3="00000000" w:csb0="00000093" w:csb1="00000000"/>
  </w:font>
  <w:font w:name="Segoe UI">
    <w:altName w:val="Segoe UI"/>
    <w:panose1 w:val="020b0502040002020203"/>
    <w:charset w:val="00"/>
    <w:family w:val="swiss"/>
    <w:pitch w:val="variable"/>
    <w:sig w:usb0="E4002EFF" w:usb1="C000E47F"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footnotes.xml><?xml version="1.0" encoding="utf-8"?>
<w:footnote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footnote w:id="1">
    <w:p>
      <w:pPr>
        <w:pStyle w:val="style0"/>
        <w:spacing w:after="0" w:lineRule="auto" w:line="240"/>
        <w:rPr>
          <w:sz w:val="20"/>
          <w:szCs w:val="20"/>
        </w:rPr>
      </w:pPr>
      <w:r>
        <w:rPr>
          <w:vertAlign w:val="superscript"/>
        </w:rPr>
        <w:footnoteRef/>
      </w:r>
      <w:r>
        <w:rPr>
          <w:sz w:val="20"/>
          <w:szCs w:val="20"/>
        </w:rPr>
        <w:t xml:space="preserve"> As part of the consultations with civil society on the CSSP, the discussion around which sectors CSSP should focus came up. Through polling, these four sectors emerged as the priority areas for CSSP’s investment.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CE042EF6"/>
    <w:lvl w:ilvl="0" w:tplc="6B96CF5E">
      <w:start w:val="1"/>
      <w:numFmt w:val="bullet"/>
      <w:lvlText w:val="-"/>
      <w:lvlJc w:val="left"/>
      <w:pPr>
        <w:ind w:left="390" w:hanging="360"/>
      </w:pPr>
      <w:rPr>
        <w:rFonts w:ascii="Calibri" w:cs="宋体" w:eastAsia="Calibri" w:hAnsi="Calibri" w:hint="default"/>
      </w:rPr>
    </w:lvl>
    <w:lvl w:ilvl="1" w:tplc="08090003" w:tentative="1">
      <w:start w:val="1"/>
      <w:numFmt w:val="bullet"/>
      <w:lvlText w:val="o"/>
      <w:lvlJc w:val="left"/>
      <w:pPr>
        <w:ind w:left="1110" w:hanging="360"/>
      </w:pPr>
      <w:rPr>
        <w:rFonts w:ascii="Courier New" w:cs="Courier New" w:hAnsi="Courier New" w:hint="default"/>
      </w:rPr>
    </w:lvl>
    <w:lvl w:ilvl="2" w:tplc="08090005" w:tentative="1">
      <w:start w:val="1"/>
      <w:numFmt w:val="bullet"/>
      <w:lvlText w:val=""/>
      <w:lvlJc w:val="left"/>
      <w:pPr>
        <w:ind w:left="1830" w:hanging="360"/>
      </w:pPr>
      <w:rPr>
        <w:rFonts w:ascii="Wingdings" w:hAnsi="Wingdings" w:hint="default"/>
      </w:rPr>
    </w:lvl>
    <w:lvl w:ilvl="3" w:tplc="08090001" w:tentative="1">
      <w:start w:val="1"/>
      <w:numFmt w:val="bullet"/>
      <w:lvlText w:val=""/>
      <w:lvlJc w:val="left"/>
      <w:pPr>
        <w:ind w:left="2550" w:hanging="360"/>
      </w:pPr>
      <w:rPr>
        <w:rFonts w:ascii="Symbol" w:hAnsi="Symbol" w:hint="default"/>
      </w:rPr>
    </w:lvl>
    <w:lvl w:ilvl="4" w:tplc="08090003" w:tentative="1">
      <w:start w:val="1"/>
      <w:numFmt w:val="bullet"/>
      <w:lvlText w:val="o"/>
      <w:lvlJc w:val="left"/>
      <w:pPr>
        <w:ind w:left="3270" w:hanging="360"/>
      </w:pPr>
      <w:rPr>
        <w:rFonts w:ascii="Courier New" w:cs="Courier New" w:hAnsi="Courier New" w:hint="default"/>
      </w:rPr>
    </w:lvl>
    <w:lvl w:ilvl="5" w:tplc="08090005" w:tentative="1">
      <w:start w:val="1"/>
      <w:numFmt w:val="bullet"/>
      <w:lvlText w:val=""/>
      <w:lvlJc w:val="left"/>
      <w:pPr>
        <w:ind w:left="3990" w:hanging="360"/>
      </w:pPr>
      <w:rPr>
        <w:rFonts w:ascii="Wingdings" w:hAnsi="Wingdings" w:hint="default"/>
      </w:rPr>
    </w:lvl>
    <w:lvl w:ilvl="6" w:tplc="08090001" w:tentative="1">
      <w:start w:val="1"/>
      <w:numFmt w:val="bullet"/>
      <w:lvlText w:val=""/>
      <w:lvlJc w:val="left"/>
      <w:pPr>
        <w:ind w:left="4710" w:hanging="360"/>
      </w:pPr>
      <w:rPr>
        <w:rFonts w:ascii="Symbol" w:hAnsi="Symbol" w:hint="default"/>
      </w:rPr>
    </w:lvl>
    <w:lvl w:ilvl="7" w:tplc="08090003" w:tentative="1">
      <w:start w:val="1"/>
      <w:numFmt w:val="bullet"/>
      <w:lvlText w:val="o"/>
      <w:lvlJc w:val="left"/>
      <w:pPr>
        <w:ind w:left="5430" w:hanging="360"/>
      </w:pPr>
      <w:rPr>
        <w:rFonts w:ascii="Courier New" w:cs="Courier New" w:hAnsi="Courier New" w:hint="default"/>
      </w:rPr>
    </w:lvl>
    <w:lvl w:ilvl="8" w:tplc="08090005" w:tentative="1">
      <w:start w:val="1"/>
      <w:numFmt w:val="bullet"/>
      <w:lvlText w:val=""/>
      <w:lvlJc w:val="left"/>
      <w:pPr>
        <w:ind w:left="6150" w:hanging="360"/>
      </w:pPr>
      <w:rPr>
        <w:rFonts w:ascii="Wingdings" w:hAnsi="Wingdings" w:hint="default"/>
      </w:rPr>
    </w:lvl>
  </w:abstractNum>
  <w:abstractNum w:abstractNumId="1">
    <w:nsid w:val="00000001"/>
    <w:multiLevelType w:val="multilevel"/>
    <w:tmpl w:val="135E47D8"/>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00000002"/>
    <w:multiLevelType w:val="hybridMultilevel"/>
    <w:tmpl w:val="5D62F3B2"/>
    <w:lvl w:ilvl="0" w:tplc="C420A0FC">
      <w:start w:val="1"/>
      <w:numFmt w:val="bullet"/>
      <w:lvlText w:val="-"/>
      <w:lvlJc w:val="left"/>
      <w:pPr>
        <w:ind w:left="720" w:hanging="360"/>
      </w:pPr>
      <w:rPr>
        <w:rFonts w:ascii="Arial" w:cs="Arial" w:eastAsia="Times New Roman" w:hAnsi="Arial" w:hint="default"/>
      </w:rPr>
    </w:lvl>
    <w:lvl w:ilvl="1" w:tplc="20000003" w:tentative="1">
      <w:start w:val="1"/>
      <w:numFmt w:val="bullet"/>
      <w:lvlText w:val="o"/>
      <w:lvlJc w:val="left"/>
      <w:pPr>
        <w:ind w:left="1440" w:hanging="360"/>
      </w:pPr>
      <w:rPr>
        <w:rFonts w:ascii="Courier New" w:cs="Courier New" w:hAnsi="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cs="Courier New" w:hAnsi="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cs="Courier New" w:hAnsi="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00000003"/>
    <w:multiLevelType w:val="multilevel"/>
    <w:tmpl w:val="260ACDAA"/>
    <w:lvl w:ilvl="0">
      <w:start w:val="1"/>
      <w:numFmt w:val="decimal"/>
      <w:lvlText w:val="%1."/>
      <w:lvlJc w:val="left"/>
      <w:pPr>
        <w:ind w:left="720" w:hanging="360"/>
      </w:pPr>
      <w:rPr>
        <w:rFonts w:ascii="Calibri" w:cs="Calibri" w:eastAsia="Calibri" w:hAnsi="Calibri"/>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00000004"/>
    <w:multiLevelType w:val="hybridMultilevel"/>
    <w:tmpl w:val="4DC60B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cs="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cs="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cs="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00000005"/>
    <w:multiLevelType w:val="hybridMultilevel"/>
    <w:tmpl w:val="3940B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6"/>
    <w:multiLevelType w:val="hybridMultilevel"/>
    <w:tmpl w:val="6DAA6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0000007"/>
    <w:multiLevelType w:val="hybridMultilevel"/>
    <w:tmpl w:val="6CCA1B6C"/>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cs="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cs="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cs="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00000008"/>
    <w:multiLevelType w:val="multilevel"/>
    <w:tmpl w:val="B11ABC34"/>
    <w:lvl w:ilvl="0">
      <w:start w:val="1"/>
      <w:numFmt w:val="bullet"/>
      <w:lvlText w:val=""/>
      <w:lvlJc w:val="left"/>
      <w:pPr>
        <w:tabs>
          <w:tab w:val="left" w:leader="none" w:pos="720"/>
        </w:tabs>
        <w:ind w:left="720" w:hanging="360"/>
      </w:pPr>
      <w:rPr>
        <w:rFonts w:ascii="Symbol" w:hAnsi="Symbol" w:hint="default"/>
        <w:sz w:val="20"/>
      </w:rPr>
    </w:lvl>
    <w:lvl w:ilvl="1">
      <w:start w:val="1"/>
      <w:numFmt w:val="decimal"/>
      <w:lvlText w:val="%2."/>
      <w:lvlJc w:val="left"/>
      <w:pPr>
        <w:tabs>
          <w:tab w:val="left" w:leader="none" w:pos="1440"/>
        </w:tabs>
        <w:ind w:left="1440" w:hanging="360"/>
      </w:pPr>
      <w:rPr>
        <w:rFonts w:cs="Times New Roman"/>
      </w:rPr>
    </w:lvl>
    <w:lvl w:ilvl="2">
      <w:start w:val="1"/>
      <w:numFmt w:val="decimal"/>
      <w:lvlText w:val="%3."/>
      <w:lvlJc w:val="left"/>
      <w:pPr>
        <w:tabs>
          <w:tab w:val="left" w:leader="none" w:pos="2160"/>
        </w:tabs>
        <w:ind w:left="2160" w:hanging="360"/>
      </w:pPr>
      <w:rPr>
        <w:rFonts w:cs="Times New Roman"/>
      </w:rPr>
    </w:lvl>
    <w:lvl w:ilvl="3">
      <w:start w:val="1"/>
      <w:numFmt w:val="decimal"/>
      <w:lvlText w:val="%4."/>
      <w:lvlJc w:val="left"/>
      <w:pPr>
        <w:tabs>
          <w:tab w:val="left" w:leader="none" w:pos="2880"/>
        </w:tabs>
        <w:ind w:left="2880" w:hanging="360"/>
      </w:pPr>
      <w:rPr>
        <w:rFonts w:cs="Times New Roman"/>
      </w:rPr>
    </w:lvl>
    <w:lvl w:ilvl="4">
      <w:start w:val="1"/>
      <w:numFmt w:val="decimal"/>
      <w:lvlText w:val="%5."/>
      <w:lvlJc w:val="left"/>
      <w:pPr>
        <w:tabs>
          <w:tab w:val="left" w:leader="none" w:pos="3600"/>
        </w:tabs>
        <w:ind w:left="3600" w:hanging="360"/>
      </w:pPr>
      <w:rPr>
        <w:rFonts w:cs="Times New Roman"/>
      </w:rPr>
    </w:lvl>
    <w:lvl w:ilvl="5">
      <w:start w:val="1"/>
      <w:numFmt w:val="decimal"/>
      <w:lvlText w:val="%6."/>
      <w:lvlJc w:val="left"/>
      <w:pPr>
        <w:tabs>
          <w:tab w:val="left" w:leader="none" w:pos="4320"/>
        </w:tabs>
        <w:ind w:left="4320" w:hanging="360"/>
      </w:pPr>
      <w:rPr>
        <w:rFonts w:cs="Times New Roman"/>
      </w:rPr>
    </w:lvl>
    <w:lvl w:ilvl="6">
      <w:start w:val="1"/>
      <w:numFmt w:val="decimal"/>
      <w:lvlText w:val="%7."/>
      <w:lvlJc w:val="left"/>
      <w:pPr>
        <w:tabs>
          <w:tab w:val="left" w:leader="none" w:pos="5040"/>
        </w:tabs>
        <w:ind w:left="5040" w:hanging="360"/>
      </w:pPr>
      <w:rPr>
        <w:rFonts w:cs="Times New Roman"/>
      </w:rPr>
    </w:lvl>
    <w:lvl w:ilvl="7">
      <w:start w:val="1"/>
      <w:numFmt w:val="decimal"/>
      <w:lvlText w:val="%8."/>
      <w:lvlJc w:val="left"/>
      <w:pPr>
        <w:tabs>
          <w:tab w:val="left" w:leader="none" w:pos="5760"/>
        </w:tabs>
        <w:ind w:left="5760" w:hanging="360"/>
      </w:pPr>
      <w:rPr>
        <w:rFonts w:cs="Times New Roman"/>
      </w:rPr>
    </w:lvl>
    <w:lvl w:ilvl="8">
      <w:start w:val="1"/>
      <w:numFmt w:val="decimal"/>
      <w:lvlText w:val="%9."/>
      <w:lvlJc w:val="left"/>
      <w:pPr>
        <w:tabs>
          <w:tab w:val="left" w:leader="none" w:pos="6480"/>
        </w:tabs>
        <w:ind w:left="6480" w:hanging="360"/>
      </w:pPr>
      <w:rPr>
        <w:rFonts w:cs="Times New Roman"/>
      </w:rPr>
    </w:lvl>
  </w:abstractNum>
  <w:abstractNum w:abstractNumId="9">
    <w:nsid w:val="00000009"/>
    <w:multiLevelType w:val="hybridMultilevel"/>
    <w:tmpl w:val="4596E3D6"/>
    <w:lvl w:ilvl="0" w:tplc="98EC0926">
      <w:start w:val="1"/>
      <w:numFmt w:val="bullet"/>
      <w:lvlText w:val="-"/>
      <w:lvlJc w:val="left"/>
      <w:pPr>
        <w:ind w:left="720" w:hanging="360"/>
      </w:pPr>
      <w:rPr>
        <w:rFonts w:ascii="Amasis MT Pro Medium" w:cs="Calibri" w:eastAsia="Calibri" w:hAnsi="Amasis MT Pro Medium"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0000000A"/>
    <w:multiLevelType w:val="hybridMultilevel"/>
    <w:tmpl w:val="70BAF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0000000B"/>
    <w:multiLevelType w:val="multilevel"/>
    <w:tmpl w:val="AB403E7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
      <w:lvlJc w:val="left"/>
      <w:pPr>
        <w:tabs>
          <w:tab w:val="left" w:leader="none" w:pos="1440"/>
        </w:tabs>
        <w:ind w:left="1440" w:hanging="360"/>
      </w:pPr>
      <w:rPr>
        <w:rFonts w:ascii="Symbol" w:hAnsi="Symbol" w:hint="default"/>
        <w:sz w:val="20"/>
      </w:rPr>
    </w:lvl>
    <w:lvl w:ilvl="2" w:tentative="1">
      <w:start w:val="1"/>
      <w:numFmt w:val="bullet"/>
      <w:lvlText w:val=""/>
      <w:lvlJc w:val="left"/>
      <w:pPr>
        <w:tabs>
          <w:tab w:val="left" w:leader="none" w:pos="2160"/>
        </w:tabs>
        <w:ind w:left="2160" w:hanging="360"/>
      </w:pPr>
      <w:rPr>
        <w:rFonts w:ascii="Symbol" w:hAnsi="Symbol" w:hint="default"/>
        <w:sz w:val="20"/>
      </w:rPr>
    </w:lvl>
    <w:lvl w:ilvl="3" w:tentative="1">
      <w:start w:val="1"/>
      <w:numFmt w:val="bullet"/>
      <w:lvlText w:val=""/>
      <w:lvlJc w:val="left"/>
      <w:pPr>
        <w:tabs>
          <w:tab w:val="left" w:leader="none" w:pos="2880"/>
        </w:tabs>
        <w:ind w:left="2880" w:hanging="360"/>
      </w:pPr>
      <w:rPr>
        <w:rFonts w:ascii="Symbol" w:hAnsi="Symbol" w:hint="default"/>
        <w:sz w:val="20"/>
      </w:rPr>
    </w:lvl>
    <w:lvl w:ilvl="4" w:tentative="1">
      <w:start w:val="1"/>
      <w:numFmt w:val="bullet"/>
      <w:lvlText w:val=""/>
      <w:lvlJc w:val="left"/>
      <w:pPr>
        <w:tabs>
          <w:tab w:val="left" w:leader="none" w:pos="3600"/>
        </w:tabs>
        <w:ind w:left="3600" w:hanging="360"/>
      </w:pPr>
      <w:rPr>
        <w:rFonts w:ascii="Symbol" w:hAnsi="Symbol" w:hint="default"/>
        <w:sz w:val="20"/>
      </w:rPr>
    </w:lvl>
    <w:lvl w:ilvl="5" w:tentative="1">
      <w:start w:val="1"/>
      <w:numFmt w:val="bullet"/>
      <w:lvlText w:val=""/>
      <w:lvlJc w:val="left"/>
      <w:pPr>
        <w:tabs>
          <w:tab w:val="left" w:leader="none" w:pos="4320"/>
        </w:tabs>
        <w:ind w:left="4320" w:hanging="360"/>
      </w:pPr>
      <w:rPr>
        <w:rFonts w:ascii="Symbol" w:hAnsi="Symbol" w:hint="default"/>
        <w:sz w:val="20"/>
      </w:rPr>
    </w:lvl>
    <w:lvl w:ilvl="6" w:tentative="1">
      <w:start w:val="1"/>
      <w:numFmt w:val="bullet"/>
      <w:lvlText w:val=""/>
      <w:lvlJc w:val="left"/>
      <w:pPr>
        <w:tabs>
          <w:tab w:val="left" w:leader="none" w:pos="5040"/>
        </w:tabs>
        <w:ind w:left="5040" w:hanging="360"/>
      </w:pPr>
      <w:rPr>
        <w:rFonts w:ascii="Symbol" w:hAnsi="Symbol" w:hint="default"/>
        <w:sz w:val="20"/>
      </w:rPr>
    </w:lvl>
    <w:lvl w:ilvl="7" w:tentative="1">
      <w:start w:val="1"/>
      <w:numFmt w:val="bullet"/>
      <w:lvlText w:val=""/>
      <w:lvlJc w:val="left"/>
      <w:pPr>
        <w:tabs>
          <w:tab w:val="left" w:leader="none" w:pos="5760"/>
        </w:tabs>
        <w:ind w:left="5760" w:hanging="360"/>
      </w:pPr>
      <w:rPr>
        <w:rFonts w:ascii="Symbol" w:hAnsi="Symbol" w:hint="default"/>
        <w:sz w:val="20"/>
      </w:rPr>
    </w:lvl>
    <w:lvl w:ilvl="8" w:tentative="1">
      <w:start w:val="1"/>
      <w:numFmt w:val="bullet"/>
      <w:lvlText w:val=""/>
      <w:lvlJc w:val="left"/>
      <w:pPr>
        <w:tabs>
          <w:tab w:val="left" w:leader="none" w:pos="6480"/>
        </w:tabs>
        <w:ind w:left="6480" w:hanging="360"/>
      </w:pPr>
      <w:rPr>
        <w:rFonts w:ascii="Symbol" w:hAnsi="Symbol" w:hint="default"/>
        <w:sz w:val="20"/>
      </w:rPr>
    </w:lvl>
  </w:abstractNum>
  <w:abstractNum w:abstractNumId="12">
    <w:nsid w:val="0000000C"/>
    <w:multiLevelType w:val="hybridMultilevel"/>
    <w:tmpl w:val="0EEAA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000000D"/>
    <w:multiLevelType w:val="multilevel"/>
    <w:tmpl w:val="BC20D0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3"/>
  </w:num>
  <w:num w:numId="2">
    <w:abstractNumId w:val="6"/>
  </w:num>
  <w:num w:numId="3">
    <w:abstractNumId w:val="12"/>
  </w:num>
  <w:num w:numId="4">
    <w:abstractNumId w:val="9"/>
  </w:num>
  <w:num w:numId="5">
    <w:abstractNumId w:val="11"/>
  </w:num>
  <w:num w:numId="6">
    <w:abstractNumId w:val="2"/>
  </w:num>
  <w:num w:numId="7">
    <w:abstractNumId w:val="5"/>
  </w:num>
  <w:num w:numId="8">
    <w:abstractNumId w:val="0"/>
  </w:num>
  <w:num w:numId="9">
    <w:abstractNumId w:val="3"/>
  </w:num>
  <w:num w:numId="10">
    <w:abstractNumId w:val="10"/>
  </w:num>
  <w:num w:numId="11">
    <w:abstractNumId w:val="1"/>
  </w:num>
  <w:num w:numId="12">
    <w:abstractNumId w:val="4"/>
  </w:num>
  <w:num w:numId="13">
    <w:abstractNumId w:val="7"/>
  </w:num>
  <w:num w:numId="14">
    <w:abstractNumId w:val="8"/>
  </w:num>
</w:numbering>
</file>

<file path=word/settings.xml><?xml version="1.0" encoding="utf-8"?>
<w:settings xmlns:w="http://schemas.openxmlformats.org/wordprocessingml/2006/main" xmlns:r="http://schemas.openxmlformats.org/officeDocument/2006/relationships" xmlns:m="http://schemas.openxmlformats.org/officeDocument/2006/math">
  <w:view w:val="web"/>
  <w:zoom w:percent="6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revisionView w:inkAnnotations="f"/>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bidi="ar-SA" w:eastAsia="en-US"/>
      </w:rPr>
    </w:rPrDefault>
    <w:pPrDefault>
      <w:pPr>
        <w:spacing w:after="160" w:lineRule="auto" w:line="259"/>
      </w:pPr>
    </w:pPrDefault>
  </w:docDefaults>
  <w:style w:type="paragraph" w:default="1" w:styleId="style0">
    <w:name w:val="Normal"/>
    <w:next w:val="style0"/>
    <w:qFormat/>
    <w:pPr/>
    <w:rPr>
      <w:lang w:val="en-GB"/>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link w:val="style4101"/>
    <w:qFormat/>
    <w:uiPriority w:val="34"/>
    <w:pPr>
      <w:ind w:left="720"/>
      <w:contextualSpacing/>
    </w:pPr>
    <w:rPr/>
  </w:style>
  <w:style w:type="character" w:styleId="style85">
    <w:name w:val="Hyperlink"/>
    <w:basedOn w:val="style65"/>
    <w:next w:val="style85"/>
    <w:uiPriority w:val="99"/>
    <w:rPr>
      <w:color w:val="0563c1"/>
      <w:u w:val="single"/>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hAnsi="Times New Roman"/>
      <w:sz w:val="24"/>
      <w:szCs w:val="24"/>
      <w:lang w:val="en-US"/>
    </w:rPr>
  </w:style>
  <w:style w:type="paragraph" w:customStyle="1" w:styleId="style4097">
    <w:name w:val="pf0"/>
    <w:basedOn w:val="style0"/>
    <w:next w:val="style4097"/>
    <w:pPr>
      <w:spacing w:before="100" w:beforeAutospacing="true" w:after="100" w:afterAutospacing="true" w:lineRule="auto" w:line="240"/>
    </w:pPr>
    <w:rPr>
      <w:rFonts w:ascii="Times New Roman" w:cs="Times New Roman" w:eastAsia="Times New Roman" w:hAnsi="Times New Roman"/>
      <w:sz w:val="24"/>
      <w:szCs w:val="24"/>
    </w:rPr>
  </w:style>
  <w:style w:type="character" w:customStyle="1" w:styleId="style4098">
    <w:name w:val="cf01"/>
    <w:basedOn w:val="style65"/>
    <w:next w:val="style4098"/>
    <w:rPr>
      <w:rFonts w:ascii="Segoe UI" w:cs="Segoe UI" w:hAnsi="Segoe UI" w:hint="default"/>
      <w:sz w:val="18"/>
      <w:szCs w:val="18"/>
    </w:rPr>
  </w:style>
  <w:style w:type="character" w:styleId="style39">
    <w:name w:val="annotation reference"/>
    <w:basedOn w:val="style65"/>
    <w:next w:val="style39"/>
    <w:uiPriority w:val="99"/>
    <w:rPr>
      <w:sz w:val="16"/>
      <w:szCs w:val="16"/>
    </w:rPr>
  </w:style>
  <w:style w:type="paragraph" w:styleId="style30">
    <w:name w:val="annotation text"/>
    <w:basedOn w:val="style0"/>
    <w:next w:val="style30"/>
    <w:link w:val="style4099"/>
    <w:uiPriority w:val="99"/>
    <w:pPr>
      <w:spacing w:lineRule="auto" w:line="240"/>
    </w:pPr>
    <w:rPr>
      <w:kern w:val="2"/>
      <w:sz w:val="20"/>
      <w:szCs w:val="20"/>
      <w14:ligatures xmlns:w14="http://schemas.microsoft.com/office/word/2010/wordml" w14:val="standardContextual"/>
    </w:rPr>
  </w:style>
  <w:style w:type="character" w:customStyle="1" w:styleId="style4099">
    <w:name w:val="Comment Text Char"/>
    <w:basedOn w:val="style65"/>
    <w:next w:val="style4099"/>
    <w:link w:val="style30"/>
    <w:uiPriority w:val="99"/>
    <w:rPr>
      <w:kern w:val="2"/>
      <w:sz w:val="20"/>
      <w:szCs w:val="20"/>
      <w:lang w:val="en-GB"/>
      <w14:ligatures xmlns:w14="http://schemas.microsoft.com/office/word/2010/wordml" w14:val="standardContextual"/>
    </w:rPr>
  </w:style>
  <w:style w:type="character" w:customStyle="1" w:styleId="style4100">
    <w:name w:val="Unresolved Mention"/>
    <w:basedOn w:val="style65"/>
    <w:next w:val="style4100"/>
    <w:uiPriority w:val="99"/>
    <w:rPr>
      <w:color w:val="605e5c"/>
      <w:shd w:val="clear" w:color="auto" w:fill="e1dfdd"/>
    </w:rPr>
  </w:style>
  <w:style w:type="character" w:customStyle="1" w:styleId="style4101">
    <w:name w:val="List Paragraph Char"/>
    <w:next w:val="style4101"/>
    <w:link w:val="style179"/>
    <w:qFormat/>
    <w:uiPriority w:val="34"/>
    <w:rPr>
      <w:lang w:val="en-GB"/>
    </w:rPr>
  </w:style>
  <w:style w:type="character" w:styleId="style86">
    <w:name w:val="FollowedHyperlink"/>
    <w:basedOn w:val="style65"/>
    <w:next w:val="style86"/>
    <w:uiPriority w:val="99"/>
    <w:rPr>
      <w:color w:val="954f72"/>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footnotes" Target="footnotes.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1780</Words>
  <Pages>1</Pages>
  <Characters>10751</Characters>
  <Application>WPS Office</Application>
  <DocSecurity>0</DocSecurity>
  <Paragraphs>99</Paragraphs>
  <ScaleCrop>false</ScaleCrop>
  <LinksUpToDate>false</LinksUpToDate>
  <CharactersWithSpaces>12486</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2023-11-22T09:37:43Z</dcterms:created>
  <dc:creator>Joan Vivian Koomson</dc:creator>
  <lastModifiedBy>SM-A035F</lastModifiedBy>
  <dcterms:modified xsi:type="dcterms:W3CDTF">2023-11-22T09:37:43Z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99d803b130ec4222a95fddd4017f5da4</vt:lpwstr>
  </property>
</Properties>
</file>